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Pr="00C609C5" w:rsidRDefault="00011212">
            <w:pPr>
              <w:jc w:val="both"/>
              <w:rPr>
                <w:rFonts w:ascii="Arial" w:hAnsi="Arial"/>
                <w:b/>
                <w:bCs/>
                <w:sz w:val="26"/>
                <w:szCs w:val="26"/>
              </w:rPr>
            </w:pPr>
            <w:r w:rsidRPr="00C609C5">
              <w:rPr>
                <w:rFonts w:ascii="Arial" w:hAnsi="Arial" w:hint="cs"/>
                <w:b/>
                <w:bCs/>
                <w:sz w:val="26"/>
                <w:szCs w:val="26"/>
                <w:rtl/>
              </w:rPr>
              <w:t>ב</w:t>
            </w:r>
            <w:r w:rsidRPr="00C609C5">
              <w:rPr>
                <w:rFonts w:ascii="Arial" w:hAnsi="Arial"/>
                <w:b/>
                <w:bCs/>
                <w:sz w:val="26"/>
                <w:szCs w:val="26"/>
                <w:rtl/>
              </w:rPr>
              <w:t xml:space="preserve">פני </w:t>
            </w:r>
          </w:p>
        </w:tc>
        <w:tc>
          <w:tcPr>
            <w:tcW w:w="8077" w:type="dxa"/>
            <w:gridSpan w:val="2"/>
          </w:tcPr>
          <w:p w:rsidR="002914D6" w:rsidRPr="00C609C5" w:rsidRDefault="00011212">
            <w:pPr>
              <w:rPr>
                <w:rFonts w:ascii="Arial" w:hAnsi="Arial"/>
                <w:b/>
                <w:bCs/>
                <w:sz w:val="26"/>
                <w:szCs w:val="26"/>
                <w:rtl/>
              </w:rPr>
            </w:pPr>
            <w:r w:rsidRPr="00C609C5">
              <w:rPr>
                <w:rFonts w:ascii="Arial" w:hAnsi="Arial" w:hint="cs"/>
                <w:b/>
                <w:bCs/>
                <w:sz w:val="26"/>
                <w:szCs w:val="26"/>
                <w:rtl/>
              </w:rPr>
              <w:t>כב' ה</w:t>
            </w:r>
            <w:sdt>
              <w:sdtPr>
                <w:rPr>
                  <w:sz w:val="26"/>
                  <w:szCs w:val="26"/>
                  <w:rtl/>
                </w:rPr>
                <w:alias w:val="1574"/>
                <w:tag w:val="1574"/>
                <w:id w:val="1747146877"/>
                <w:text w:multiLine="1"/>
              </w:sdtPr>
              <w:sdtEndPr/>
              <w:sdtContent>
                <w:r w:rsidRPr="00C609C5">
                  <w:rPr>
                    <w:rFonts w:ascii="Arial" w:hAnsi="Arial"/>
                    <w:b/>
                    <w:bCs/>
                    <w:sz w:val="26"/>
                    <w:szCs w:val="26"/>
                    <w:rtl/>
                  </w:rPr>
                  <w:t>שופטת</w:t>
                </w:r>
              </w:sdtContent>
            </w:sdt>
            <w:r w:rsidRPr="00C609C5">
              <w:rPr>
                <w:rFonts w:ascii="Arial" w:hAnsi="Arial" w:hint="cs"/>
                <w:b/>
                <w:bCs/>
                <w:sz w:val="26"/>
                <w:szCs w:val="26"/>
                <w:rtl/>
              </w:rPr>
              <w:t xml:space="preserve">  </w:t>
            </w:r>
            <w:sdt>
              <w:sdtPr>
                <w:rPr>
                  <w:sz w:val="26"/>
                  <w:szCs w:val="26"/>
                  <w:rtl/>
                </w:rPr>
                <w:alias w:val="1573"/>
                <w:tag w:val="1573"/>
                <w:id w:val="320551012"/>
                <w:text w:multiLine="1"/>
              </w:sdtPr>
              <w:sdtEndPr/>
              <w:sdtContent>
                <w:r w:rsidRPr="00C609C5">
                  <w:rPr>
                    <w:rFonts w:ascii="Arial" w:hAnsi="Arial"/>
                    <w:b/>
                    <w:bCs/>
                    <w:sz w:val="26"/>
                    <w:szCs w:val="26"/>
                    <w:rtl/>
                  </w:rPr>
                  <w:t>הילה גלבוע</w:t>
                </w:r>
              </w:sdtContent>
            </w:sdt>
          </w:p>
          <w:p w:rsidR="002914D6" w:rsidRPr="00C609C5" w:rsidRDefault="002914D6">
            <w:pPr>
              <w:rPr>
                <w:rFonts w:ascii="Arial" w:hAnsi="Arial" w:cs="FrankRuehl"/>
                <w:sz w:val="26"/>
                <w:szCs w:val="26"/>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rPr>
                <w:sz w:val="26"/>
                <w:szCs w:val="26"/>
              </w:rPr>
              <w:alias w:val="1180"/>
              <w:tag w:val="1180"/>
              <w:id w:val="-1016538661"/>
              <w:text w:multiLine="1"/>
            </w:sdtPr>
            <w:sdtEndPr/>
            <w:sdtContent>
              <w:p w:rsidR="005515FC" w:rsidRDefault="00E34603">
                <w:pPr>
                  <w:bidi w:val="0"/>
                  <w:jc w:val="right"/>
                  <w:rPr>
                    <w:rFonts w:ascii="Arial" w:hAnsi="Arial"/>
                    <w:b/>
                    <w:bCs/>
                    <w:noProof w:val="0"/>
                    <w:sz w:val="26"/>
                    <w:szCs w:val="26"/>
                    <w:rtl/>
                  </w:rPr>
                </w:pPr>
                <w:r w:rsidRPr="00C609C5">
                  <w:rPr>
                    <w:rFonts w:ascii="Arial" w:hAnsi="Arial"/>
                    <w:b/>
                    <w:bCs/>
                    <w:noProof w:val="0"/>
                    <w:sz w:val="26"/>
                    <w:szCs w:val="26"/>
                    <w:rtl/>
                  </w:rPr>
                  <w:t>תובעים</w:t>
                </w:r>
              </w:p>
            </w:sdtContent>
          </w:sdt>
        </w:tc>
        <w:tc>
          <w:tcPr>
            <w:tcW w:w="5571" w:type="dxa"/>
          </w:tcPr>
          <w:p w:rsidR="002914D6" w:rsidRDefault="002914D6">
            <w:pPr>
              <w:rPr>
                <w:rFonts w:ascii="Arial" w:hAnsi="Arial"/>
                <w:b/>
                <w:bCs/>
                <w:noProof w:val="0"/>
                <w:sz w:val="26"/>
                <w:szCs w:val="26"/>
              </w:rPr>
            </w:pPr>
          </w:p>
          <w:p w:rsidR="009B2CFD" w:rsidRPr="00C609C5" w:rsidRDefault="0038555A" w:rsidP="00A13102">
            <w:pPr>
              <w:rPr>
                <w:rFonts w:ascii="Arial" w:hAnsi="Arial"/>
                <w:b/>
                <w:bCs/>
                <w:noProof w:val="0"/>
                <w:sz w:val="26"/>
                <w:szCs w:val="26"/>
                <w:rtl/>
              </w:rPr>
            </w:pPr>
            <w:sdt>
              <w:sdtPr>
                <w:rPr>
                  <w:rFonts w:ascii="Arial" w:hAnsi="Arial"/>
                  <w:b/>
                  <w:bCs/>
                  <w:noProof w:val="0"/>
                  <w:sz w:val="26"/>
                  <w:szCs w:val="26"/>
                  <w:rtl/>
                </w:rPr>
                <w:alias w:val="1478"/>
                <w:tag w:val="1478"/>
                <w:id w:val="-253204720"/>
                <w:text w:multiLine="1"/>
              </w:sdtPr>
              <w:sdtEndPr/>
              <w:sdtContent>
                <w:r w:rsidR="00E34603" w:rsidRPr="00C609C5">
                  <w:rPr>
                    <w:rFonts w:ascii="Arial" w:hAnsi="Arial" w:hint="cs"/>
                    <w:b/>
                    <w:bCs/>
                    <w:noProof w:val="0"/>
                    <w:sz w:val="26"/>
                    <w:szCs w:val="26"/>
                    <w:rtl/>
                  </w:rPr>
                  <w:t>1.</w:t>
                </w:r>
                <w:r w:rsidR="00A13102">
                  <w:rPr>
                    <w:rFonts w:ascii="Arial" w:hAnsi="Arial" w:hint="cs"/>
                    <w:b/>
                    <w:bCs/>
                    <w:noProof w:val="0"/>
                    <w:sz w:val="26"/>
                    <w:szCs w:val="26"/>
                    <w:rtl/>
                  </w:rPr>
                  <w:t xml:space="preserve"> א.א.</w:t>
                </w:r>
              </w:sdtContent>
            </w:sdt>
            <w:r w:rsidR="00011212" w:rsidRPr="00C609C5">
              <w:rPr>
                <w:rFonts w:ascii="Arial" w:hAnsi="Arial" w:hint="cs"/>
                <w:b/>
                <w:bCs/>
                <w:noProof w:val="0"/>
                <w:sz w:val="26"/>
                <w:szCs w:val="26"/>
                <w:rtl/>
              </w:rPr>
              <w:t xml:space="preserve"> </w:t>
            </w:r>
            <w:sdt>
              <w:sdtPr>
                <w:rPr>
                  <w:b/>
                  <w:bCs/>
                  <w:sz w:val="26"/>
                  <w:szCs w:val="26"/>
                  <w:rtl/>
                </w:rPr>
                <w:alias w:val="2315"/>
                <w:tag w:val="2315"/>
                <w:id w:val="805745473"/>
                <w:text w:multiLine="1"/>
              </w:sdtPr>
              <w:sdtEndPr/>
              <w:sdtContent>
                <w:r w:rsidR="009B2CFD" w:rsidRPr="00C609C5">
                  <w:rPr>
                    <w:b/>
                    <w:bCs/>
                    <w:sz w:val="26"/>
                    <w:szCs w:val="26"/>
                    <w:rtl/>
                  </w:rPr>
                  <w:t xml:space="preserve">ת"ז </w:t>
                </w:r>
                <w:r w:rsidR="00A13102">
                  <w:rPr>
                    <w:rFonts w:hint="cs"/>
                    <w:b/>
                    <w:bCs/>
                    <w:sz w:val="26"/>
                    <w:szCs w:val="26"/>
                    <w:rtl/>
                  </w:rPr>
                  <w:t>...</w:t>
                </w:r>
              </w:sdtContent>
            </w:sdt>
          </w:p>
          <w:p w:rsidR="00E34603" w:rsidRPr="009B2CFD" w:rsidRDefault="009B2CFD" w:rsidP="00A13102">
            <w:pPr>
              <w:rPr>
                <w:b/>
                <w:bCs/>
                <w:sz w:val="28"/>
                <w:szCs w:val="28"/>
              </w:rPr>
            </w:pPr>
            <w:r w:rsidRPr="00C609C5">
              <w:rPr>
                <w:rFonts w:hint="cs"/>
                <w:rtl/>
              </w:rPr>
              <w:t>ע"י ב"כ עו"ד אפטרגוט יוסף</w:t>
            </w:r>
            <w:r w:rsidR="00011212" w:rsidRPr="009B2CFD">
              <w:rPr>
                <w:rFonts w:ascii="Arial" w:hAnsi="Arial" w:hint="cs"/>
                <w:b/>
                <w:bCs/>
                <w:noProof w:val="0"/>
                <w:sz w:val="28"/>
                <w:szCs w:val="28"/>
                <w:rtl/>
              </w:rPr>
              <w:t xml:space="preserve"> </w:t>
            </w:r>
            <w:sdt>
              <w:sdtPr>
                <w:rPr>
                  <w:b/>
                  <w:bCs/>
                  <w:sz w:val="26"/>
                  <w:szCs w:val="26"/>
                  <w:rtl/>
                </w:rPr>
                <w:alias w:val="2316"/>
                <w:tag w:val="2316"/>
                <w:id w:val="617719946"/>
                <w:text w:multiLine="1"/>
              </w:sdtPr>
              <w:sdtEndPr/>
              <w:sdtContent>
                <w:r w:rsidR="00E34603" w:rsidRPr="00C609C5">
                  <w:rPr>
                    <w:b/>
                    <w:bCs/>
                    <w:sz w:val="26"/>
                    <w:szCs w:val="26"/>
                    <w:rtl/>
                  </w:rPr>
                  <w:t xml:space="preserve"> </w:t>
                </w:r>
                <w:r w:rsidR="00E34603" w:rsidRPr="00C609C5">
                  <w:rPr>
                    <w:b/>
                    <w:bCs/>
                    <w:sz w:val="26"/>
                    <w:szCs w:val="26"/>
                    <w:rtl/>
                  </w:rPr>
                  <w:br/>
                </w:r>
                <w:r w:rsidRPr="00C609C5">
                  <w:rPr>
                    <w:b/>
                    <w:bCs/>
                    <w:sz w:val="26"/>
                    <w:szCs w:val="26"/>
                    <w:rtl/>
                  </w:rPr>
                  <w:br/>
                </w:r>
                <w:r w:rsidR="00E34603" w:rsidRPr="00C609C5">
                  <w:rPr>
                    <w:rFonts w:hint="cs"/>
                    <w:b/>
                    <w:bCs/>
                    <w:sz w:val="26"/>
                    <w:szCs w:val="26"/>
                    <w:rtl/>
                  </w:rPr>
                  <w:t xml:space="preserve">2. </w:t>
                </w:r>
                <w:r w:rsidR="00A13102">
                  <w:rPr>
                    <w:rFonts w:hint="cs"/>
                    <w:b/>
                    <w:bCs/>
                    <w:sz w:val="26"/>
                    <w:szCs w:val="26"/>
                    <w:rtl/>
                  </w:rPr>
                  <w:t>ס.א.</w:t>
                </w:r>
                <w:r w:rsidR="00E34603" w:rsidRPr="00C609C5">
                  <w:rPr>
                    <w:b/>
                    <w:bCs/>
                    <w:sz w:val="26"/>
                    <w:szCs w:val="26"/>
                    <w:rtl/>
                  </w:rPr>
                  <w:t xml:space="preserve"> ת"ז </w:t>
                </w:r>
                <w:r w:rsidR="00A13102">
                  <w:rPr>
                    <w:rFonts w:hint="cs"/>
                    <w:b/>
                    <w:bCs/>
                    <w:sz w:val="26"/>
                    <w:szCs w:val="26"/>
                    <w:rtl/>
                  </w:rPr>
                  <w:t>...</w:t>
                </w:r>
                <w:r w:rsidR="00E34603" w:rsidRPr="00C609C5">
                  <w:rPr>
                    <w:b/>
                    <w:bCs/>
                    <w:sz w:val="26"/>
                    <w:szCs w:val="26"/>
                    <w:rtl/>
                  </w:rPr>
                  <w:t xml:space="preserve"> </w:t>
                </w:r>
                <w:r w:rsidR="00E34603" w:rsidRPr="00C609C5">
                  <w:rPr>
                    <w:b/>
                    <w:bCs/>
                    <w:sz w:val="26"/>
                    <w:szCs w:val="26"/>
                    <w:rtl/>
                  </w:rPr>
                  <w:br/>
                </w:r>
                <w:r w:rsidR="00E34603" w:rsidRPr="00C609C5">
                  <w:rPr>
                    <w:rFonts w:hint="cs"/>
                    <w:b/>
                    <w:bCs/>
                    <w:sz w:val="26"/>
                    <w:szCs w:val="26"/>
                    <w:rtl/>
                  </w:rPr>
                  <w:t xml:space="preserve">3. </w:t>
                </w:r>
                <w:r w:rsidR="00A13102">
                  <w:rPr>
                    <w:rFonts w:hint="cs"/>
                    <w:b/>
                    <w:bCs/>
                    <w:sz w:val="26"/>
                    <w:szCs w:val="26"/>
                    <w:rtl/>
                  </w:rPr>
                  <w:t>צ.מ.</w:t>
                </w:r>
                <w:r w:rsidR="00E34603" w:rsidRPr="00C609C5">
                  <w:rPr>
                    <w:b/>
                    <w:bCs/>
                    <w:sz w:val="26"/>
                    <w:szCs w:val="26"/>
                    <w:rtl/>
                  </w:rPr>
                  <w:t xml:space="preserve"> ת"ז </w:t>
                </w:r>
                <w:r w:rsidR="00A13102">
                  <w:rPr>
                    <w:rFonts w:hint="cs"/>
                    <w:b/>
                    <w:bCs/>
                    <w:sz w:val="26"/>
                    <w:szCs w:val="26"/>
                    <w:rtl/>
                  </w:rPr>
                  <w:t>...</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F94138" w:rsidRDefault="0038555A">
            <w:pPr>
              <w:rPr>
                <w:rFonts w:ascii="Arial" w:hAnsi="Arial"/>
                <w:b/>
                <w:bCs/>
                <w:noProof w:val="0"/>
                <w:sz w:val="26"/>
                <w:szCs w:val="26"/>
              </w:rPr>
            </w:pPr>
            <w:sdt>
              <w:sdtPr>
                <w:rPr>
                  <w:rtl/>
                </w:rPr>
                <w:alias w:val="1184"/>
                <w:tag w:val="1184"/>
                <w:id w:val="-35981914"/>
                <w:text w:multiLine="1"/>
              </w:sdtPr>
              <w:sdtEndPr/>
              <w:sdtContent>
                <w:r w:rsidR="00521467">
                  <w:rPr>
                    <w:rFonts w:ascii="Arial" w:hAnsi="Arial"/>
                    <w:b/>
                    <w:bCs/>
                    <w:noProof w:val="0"/>
                    <w:sz w:val="26"/>
                    <w:szCs w:val="26"/>
                    <w:rtl/>
                  </w:rPr>
                  <w:t>נתבעים</w:t>
                </w:r>
              </w:sdtContent>
            </w:sdt>
          </w:p>
          <w:p w:rsidR="00F94138" w:rsidRPr="00F94138" w:rsidRDefault="00F94138" w:rsidP="00F94138">
            <w:pPr>
              <w:rPr>
                <w:rFonts w:ascii="Arial" w:hAnsi="Arial"/>
                <w:sz w:val="26"/>
                <w:szCs w:val="26"/>
              </w:rPr>
            </w:pPr>
          </w:p>
          <w:p w:rsidR="00F94138" w:rsidRDefault="00F94138" w:rsidP="00F94138">
            <w:pPr>
              <w:rPr>
                <w:rFonts w:ascii="Arial" w:hAnsi="Arial"/>
                <w:sz w:val="26"/>
                <w:szCs w:val="26"/>
              </w:rPr>
            </w:pPr>
          </w:p>
          <w:p w:rsidR="002914D6" w:rsidRPr="00F94138" w:rsidRDefault="002914D6" w:rsidP="00F94138">
            <w:pPr>
              <w:jc w:val="right"/>
              <w:rPr>
                <w:rFonts w:ascii="Arial" w:hAnsi="Arial"/>
                <w:sz w:val="26"/>
                <w:szCs w:val="26"/>
              </w:rPr>
            </w:pPr>
          </w:p>
        </w:tc>
        <w:tc>
          <w:tcPr>
            <w:tcW w:w="5571" w:type="dxa"/>
          </w:tcPr>
          <w:p w:rsidR="002914D6" w:rsidRDefault="002914D6">
            <w:pPr>
              <w:rPr>
                <w:rFonts w:ascii="Arial" w:hAnsi="Arial"/>
                <w:b/>
                <w:bCs/>
                <w:noProof w:val="0"/>
                <w:sz w:val="26"/>
                <w:szCs w:val="26"/>
                <w:rtl/>
              </w:rPr>
            </w:pPr>
          </w:p>
          <w:p w:rsidR="002914D6" w:rsidRPr="00C609C5" w:rsidRDefault="0038555A" w:rsidP="00A13102">
            <w:pPr>
              <w:pStyle w:val="ae"/>
              <w:numPr>
                <w:ilvl w:val="0"/>
                <w:numId w:val="5"/>
              </w:numPr>
              <w:rPr>
                <w:b/>
                <w:bCs/>
                <w:noProof w:val="0"/>
                <w:rtl/>
              </w:rPr>
            </w:pPr>
            <w:sdt>
              <w:sdtPr>
                <w:rPr>
                  <w:b/>
                  <w:bCs/>
                  <w:sz w:val="26"/>
                  <w:szCs w:val="26"/>
                  <w:rtl/>
                </w:rPr>
                <w:alias w:val="1486"/>
                <w:tag w:val="1486"/>
                <w:id w:val="-734459171"/>
                <w:text w:multiLine="1"/>
              </w:sdtPr>
              <w:sdtEndPr/>
              <w:sdtContent>
                <w:r w:rsidR="00A13102">
                  <w:rPr>
                    <w:rFonts w:hint="cs"/>
                    <w:b/>
                    <w:bCs/>
                    <w:sz w:val="26"/>
                    <w:szCs w:val="26"/>
                    <w:rtl/>
                  </w:rPr>
                  <w:t>א.ל.</w:t>
                </w:r>
                <w:r w:rsidR="009B2CFD" w:rsidRPr="00C609C5">
                  <w:rPr>
                    <w:b/>
                    <w:bCs/>
                    <w:sz w:val="26"/>
                    <w:szCs w:val="26"/>
                    <w:rtl/>
                  </w:rPr>
                  <w:t xml:space="preserve"> ת"ז </w:t>
                </w:r>
                <w:r w:rsidR="00A13102">
                  <w:rPr>
                    <w:rFonts w:hint="cs"/>
                    <w:b/>
                    <w:bCs/>
                    <w:sz w:val="26"/>
                    <w:szCs w:val="26"/>
                    <w:rtl/>
                  </w:rPr>
                  <w:t>...</w:t>
                </w:r>
                <w:r w:rsidR="009B2CFD" w:rsidRPr="00C609C5">
                  <w:rPr>
                    <w:b/>
                    <w:bCs/>
                    <w:sz w:val="26"/>
                    <w:szCs w:val="26"/>
                    <w:rtl/>
                  </w:rPr>
                  <w:t xml:space="preserve"> </w:t>
                </w:r>
                <w:r w:rsidR="009B2CFD" w:rsidRPr="00C609C5">
                  <w:rPr>
                    <w:b/>
                    <w:bCs/>
                    <w:sz w:val="26"/>
                    <w:szCs w:val="26"/>
                    <w:rtl/>
                  </w:rPr>
                  <w:br/>
                </w:r>
              </w:sdtContent>
            </w:sdt>
            <w:r w:rsidR="00011212" w:rsidRPr="009B2CFD">
              <w:rPr>
                <w:rFonts w:ascii="Arial" w:hAnsi="Arial" w:hint="cs"/>
                <w:b/>
                <w:bCs/>
                <w:noProof w:val="0"/>
                <w:sz w:val="26"/>
                <w:szCs w:val="26"/>
                <w:rtl/>
              </w:rPr>
              <w:t xml:space="preserve"> </w:t>
            </w:r>
            <w:r w:rsidR="009B2CFD" w:rsidRPr="00C609C5">
              <w:rPr>
                <w:rtl/>
              </w:rPr>
              <w:t>ע"י ב"כ עו"ד אלון סיסו</w:t>
            </w:r>
          </w:p>
          <w:p w:rsidR="009B2CFD" w:rsidRPr="009B2CFD" w:rsidRDefault="009B2CFD" w:rsidP="009B2CFD">
            <w:pPr>
              <w:pStyle w:val="ae"/>
              <w:rPr>
                <w:b/>
                <w:bCs/>
                <w:noProof w:val="0"/>
                <w:sz w:val="26"/>
                <w:szCs w:val="26"/>
                <w:rtl/>
              </w:rPr>
            </w:pPr>
          </w:p>
          <w:p w:rsidR="00E34603" w:rsidRPr="00C609C5" w:rsidRDefault="0038555A" w:rsidP="00E34603">
            <w:pPr>
              <w:rPr>
                <w:b/>
                <w:bCs/>
                <w:noProof w:val="0"/>
                <w:sz w:val="26"/>
                <w:szCs w:val="26"/>
              </w:rPr>
            </w:pPr>
            <w:sdt>
              <w:sdtPr>
                <w:rPr>
                  <w:b/>
                  <w:bCs/>
                  <w:sz w:val="26"/>
                  <w:szCs w:val="26"/>
                  <w:rtl/>
                </w:rPr>
                <w:alias w:val="1571"/>
                <w:tag w:val="1571"/>
                <w:id w:val="-346174415"/>
                <w:text w:multiLine="1"/>
              </w:sdtPr>
              <w:sdtEndPr/>
              <w:sdtContent>
                <w:r w:rsidR="009B2CFD" w:rsidRPr="00C609C5">
                  <w:rPr>
                    <w:b/>
                    <w:bCs/>
                    <w:sz w:val="26"/>
                    <w:szCs w:val="26"/>
                    <w:rtl/>
                  </w:rPr>
                  <w:t>2. האפוטרופוס הכללי במחוז ירושלים</w:t>
                </w:r>
              </w:sdtContent>
            </w:sdt>
          </w:p>
          <w:p w:rsidR="002914D6" w:rsidRDefault="002914D6">
            <w:pPr>
              <w:rPr>
                <w:b/>
                <w:bCs/>
                <w:noProof w:val="0"/>
                <w:sz w:val="26"/>
                <w:szCs w:val="26"/>
                <w:rtl/>
              </w:rPr>
            </w:pPr>
          </w:p>
        </w:tc>
      </w:tr>
      <w:tr w:rsidR="00F03998" w:rsidTr="00260701">
        <w:trPr>
          <w:jc w:val="center"/>
        </w:trPr>
        <w:tc>
          <w:tcPr>
            <w:tcW w:w="8820" w:type="dxa"/>
            <w:gridSpan w:val="3"/>
          </w:tcPr>
          <w:p w:rsidR="00C609C5" w:rsidRDefault="00F03998" w:rsidP="008757D3">
            <w:pPr>
              <w:rPr>
                <w:b/>
                <w:bCs/>
                <w:rtl/>
              </w:rPr>
            </w:pPr>
            <w:r>
              <w:rPr>
                <w:rFonts w:hint="cs"/>
                <w:b/>
                <w:bCs/>
                <w:rtl/>
              </w:rPr>
              <w:t xml:space="preserve"> </w:t>
            </w:r>
          </w:p>
          <w:p w:rsidR="00F03998" w:rsidRPr="00C609C5" w:rsidRDefault="00F03998" w:rsidP="00A13102">
            <w:pPr>
              <w:rPr>
                <w:b/>
                <w:bCs/>
                <w:sz w:val="26"/>
                <w:szCs w:val="26"/>
                <w:rtl/>
              </w:rPr>
            </w:pPr>
            <w:r w:rsidRPr="00C609C5">
              <w:rPr>
                <w:rFonts w:hint="cs"/>
                <w:b/>
                <w:bCs/>
                <w:sz w:val="26"/>
                <w:szCs w:val="26"/>
                <w:rtl/>
              </w:rPr>
              <w:t xml:space="preserve">בעניין </w:t>
            </w:r>
            <w:sdt>
              <w:sdtPr>
                <w:rPr>
                  <w:rFonts w:hint="cs"/>
                  <w:b/>
                  <w:bCs/>
                  <w:sz w:val="26"/>
                  <w:szCs w:val="26"/>
                  <w:rtl/>
                </w:rPr>
                <w:alias w:val="2881"/>
                <w:tag w:val="2881"/>
                <w:id w:val="1925457325"/>
                <w:placeholder>
                  <w:docPart w:val="A8E5833270C5499AAA485CCF8A2EA522"/>
                </w:placeholder>
                <w:text w:multiLine="1"/>
              </w:sdtPr>
              <w:sdtEndPr/>
              <w:sdtContent>
                <w:r w:rsidRPr="00C609C5">
                  <w:rPr>
                    <w:rFonts w:hint="cs"/>
                    <w:b/>
                    <w:bCs/>
                    <w:sz w:val="26"/>
                    <w:szCs w:val="26"/>
                    <w:rtl/>
                  </w:rPr>
                  <w:t>המנוח</w:t>
                </w:r>
              </w:sdtContent>
            </w:sdt>
            <w:r w:rsidR="00E34603" w:rsidRPr="00C609C5">
              <w:rPr>
                <w:rFonts w:hint="cs"/>
                <w:b/>
                <w:bCs/>
                <w:sz w:val="26"/>
                <w:szCs w:val="26"/>
                <w:rtl/>
              </w:rPr>
              <w:t>ה</w:t>
            </w:r>
            <w:r w:rsidR="009B2CFD" w:rsidRPr="00C609C5">
              <w:rPr>
                <w:rFonts w:hint="cs"/>
                <w:b/>
                <w:bCs/>
                <w:sz w:val="26"/>
                <w:szCs w:val="26"/>
                <w:rtl/>
              </w:rPr>
              <w:t xml:space="preserve">:                              </w:t>
            </w:r>
            <w:r w:rsidR="00E34603" w:rsidRPr="00C609C5">
              <w:rPr>
                <w:rFonts w:hint="cs"/>
                <w:b/>
                <w:bCs/>
                <w:sz w:val="26"/>
                <w:szCs w:val="26"/>
                <w:rtl/>
              </w:rPr>
              <w:t xml:space="preserve"> </w:t>
            </w:r>
            <w:r w:rsidR="00A13102">
              <w:rPr>
                <w:rFonts w:hint="cs"/>
                <w:b/>
                <w:bCs/>
                <w:sz w:val="26"/>
                <w:szCs w:val="26"/>
                <w:rtl/>
              </w:rPr>
              <w:t>מ.ל.</w:t>
            </w:r>
            <w:sdt>
              <w:sdtPr>
                <w:rPr>
                  <w:rFonts w:hint="cs"/>
                  <w:b/>
                  <w:bCs/>
                  <w:sz w:val="26"/>
                  <w:szCs w:val="26"/>
                  <w:rtl/>
                </w:rPr>
                <w:alias w:val="2879"/>
                <w:tag w:val="2879"/>
                <w:id w:val="-114452602"/>
                <w:placeholder>
                  <w:docPart w:val="565E1EFFD34947D08D8A2A20F6165D99"/>
                </w:placeholder>
                <w:text w:multiLine="1"/>
              </w:sdtPr>
              <w:sdtEndPr/>
              <w:sdtContent>
                <w:r w:rsidR="00E34603" w:rsidRPr="00C609C5">
                  <w:rPr>
                    <w:rFonts w:hint="cs"/>
                    <w:b/>
                    <w:bCs/>
                    <w:sz w:val="26"/>
                    <w:szCs w:val="26"/>
                    <w:rtl/>
                  </w:rPr>
                  <w:t xml:space="preserve"> ז"ל</w:t>
                </w:r>
              </w:sdtContent>
            </w:sdt>
            <w:r w:rsidRPr="00C609C5">
              <w:rPr>
                <w:rFonts w:hint="cs"/>
                <w:b/>
                <w:bCs/>
                <w:sz w:val="26"/>
                <w:szCs w:val="26"/>
                <w:rtl/>
              </w:rPr>
              <w:t xml:space="preserve">, </w:t>
            </w:r>
            <w:sdt>
              <w:sdtPr>
                <w:rPr>
                  <w:rFonts w:hint="cs"/>
                  <w:b/>
                  <w:bCs/>
                  <w:sz w:val="26"/>
                  <w:szCs w:val="26"/>
                  <w:rtl/>
                </w:rPr>
                <w:alias w:val="2876"/>
                <w:tag w:val="2876"/>
                <w:id w:val="1415283746"/>
                <w:placeholder>
                  <w:docPart w:val="8EE10DA5B5EC4B81ADA486D0B8435881"/>
                </w:placeholder>
                <w:text w:multiLine="1"/>
              </w:sdtPr>
              <w:sdtEndPr/>
              <w:sdtContent>
                <w:r w:rsidRPr="00C609C5">
                  <w:rPr>
                    <w:rFonts w:hint="cs"/>
                    <w:b/>
                    <w:bCs/>
                    <w:sz w:val="26"/>
                    <w:szCs w:val="26"/>
                    <w:rtl/>
                  </w:rPr>
                  <w:t>ת"ז</w:t>
                </w:r>
              </w:sdtContent>
            </w:sdt>
            <w:r w:rsidRPr="00C609C5">
              <w:rPr>
                <w:rFonts w:hint="cs"/>
                <w:b/>
                <w:bCs/>
                <w:sz w:val="26"/>
                <w:szCs w:val="26"/>
                <w:rtl/>
              </w:rPr>
              <w:t xml:space="preserve"> </w:t>
            </w:r>
            <w:sdt>
              <w:sdtPr>
                <w:rPr>
                  <w:rFonts w:hint="cs"/>
                  <w:b/>
                  <w:bCs/>
                  <w:sz w:val="26"/>
                  <w:szCs w:val="26"/>
                  <w:rtl/>
                </w:rPr>
                <w:alias w:val="2877"/>
                <w:tag w:val="2877"/>
                <w:id w:val="1671209994"/>
                <w:placeholder>
                  <w:docPart w:val="A504B290065D462F9D3B1A90634C9A0C"/>
                </w:placeholder>
                <w:text w:multiLine="1"/>
              </w:sdtPr>
              <w:sdtEndPr/>
              <w:sdtContent>
                <w:r w:rsidR="00A13102">
                  <w:rPr>
                    <w:rFonts w:hint="cs"/>
                    <w:b/>
                    <w:bCs/>
                    <w:sz w:val="26"/>
                    <w:szCs w:val="26"/>
                    <w:rtl/>
                  </w:rPr>
                  <w:t>....</w:t>
                </w:r>
              </w:sdtContent>
            </w:sdt>
          </w:p>
          <w:p w:rsidR="009B2CFD" w:rsidRPr="009B2CFD" w:rsidRDefault="009B2CFD" w:rsidP="008757D3">
            <w:pPr>
              <w:rPr>
                <w:b/>
                <w:bCs/>
                <w:sz w:val="28"/>
                <w:szCs w:val="28"/>
              </w:rPr>
            </w:pPr>
          </w:p>
          <w:p w:rsidR="00F03998" w:rsidRDefault="00F03998">
            <w:pPr>
              <w:rPr>
                <w:rFonts w:ascii="Arial" w:hAnsi="Arial"/>
                <w:b/>
                <w:bCs/>
                <w:noProof w:val="0"/>
                <w:sz w:val="26"/>
                <w:szCs w:val="26"/>
                <w:rtl/>
              </w:rPr>
            </w:pPr>
          </w:p>
        </w:tc>
      </w:tr>
      <w:tr w:rsidR="00F03998">
        <w:trPr>
          <w:jc w:val="center"/>
        </w:trPr>
        <w:tc>
          <w:tcPr>
            <w:tcW w:w="8820" w:type="dxa"/>
            <w:gridSpan w:val="3"/>
          </w:tcPr>
          <w:p w:rsidR="00F03998" w:rsidRDefault="00945F78" w:rsidP="00F34ED2">
            <w:pPr>
              <w:bidi w:val="0"/>
              <w:jc w:val="center"/>
              <w:rPr>
                <w:rFonts w:ascii="Arial" w:hAnsi="Arial"/>
                <w:b/>
                <w:bCs/>
                <w:noProof w:val="0"/>
                <w:sz w:val="28"/>
                <w:szCs w:val="28"/>
                <w:u w:val="single"/>
              </w:rPr>
            </w:pPr>
            <w:r w:rsidRPr="00761853">
              <w:rPr>
                <w:rFonts w:ascii="Arial" w:hAnsi="Arial" w:hint="cs"/>
                <w:b/>
                <w:bCs/>
                <w:noProof w:val="0"/>
                <w:sz w:val="28"/>
                <w:szCs w:val="28"/>
                <w:u w:val="single"/>
                <w:rtl/>
              </w:rPr>
              <w:t>החלטה</w:t>
            </w:r>
            <w:r w:rsidR="009B2CFD">
              <w:rPr>
                <w:rFonts w:ascii="Arial" w:hAnsi="Arial"/>
                <w:b/>
                <w:bCs/>
                <w:noProof w:val="0"/>
                <w:sz w:val="28"/>
                <w:szCs w:val="28"/>
                <w:u w:val="single"/>
              </w:rPr>
              <w:t xml:space="preserve"> </w:t>
            </w:r>
          </w:p>
        </w:tc>
      </w:tr>
    </w:tbl>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E34603" w:rsidRPr="00E34603" w:rsidRDefault="00E34603" w:rsidP="00220E0C">
      <w:pPr>
        <w:spacing w:line="360" w:lineRule="auto"/>
        <w:jc w:val="both"/>
        <w:rPr>
          <w:rFonts w:ascii="David" w:eastAsia="Calibri" w:hAnsi="David"/>
          <w:b/>
          <w:bCs/>
          <w:noProof w:val="0"/>
        </w:rPr>
      </w:pPr>
      <w:r w:rsidRPr="00E34603">
        <w:rPr>
          <w:rFonts w:ascii="David" w:eastAsia="Calibri" w:hAnsi="David"/>
          <w:b/>
          <w:bCs/>
          <w:noProof w:val="0"/>
          <w:rtl/>
        </w:rPr>
        <w:t xml:space="preserve">הכרעה בשאלה המקדמית  - האם </w:t>
      </w:r>
      <w:r w:rsidR="009B2CFD">
        <w:rPr>
          <w:rFonts w:ascii="David" w:eastAsia="Calibri" w:hAnsi="David"/>
          <w:b/>
          <w:bCs/>
          <w:noProof w:val="0"/>
          <w:rtl/>
        </w:rPr>
        <w:t>הצוואה ההדדית שנ</w:t>
      </w:r>
      <w:r w:rsidR="00220E0C">
        <w:rPr>
          <w:rFonts w:ascii="David" w:eastAsia="Calibri" w:hAnsi="David" w:hint="cs"/>
          <w:b/>
          <w:bCs/>
          <w:noProof w:val="0"/>
          <w:rtl/>
        </w:rPr>
        <w:t xml:space="preserve">ערכה </w:t>
      </w:r>
      <w:r w:rsidR="009B2CFD">
        <w:rPr>
          <w:rFonts w:ascii="David" w:eastAsia="Calibri" w:hAnsi="David"/>
          <w:b/>
          <w:bCs/>
          <w:noProof w:val="0"/>
          <w:rtl/>
        </w:rPr>
        <w:t>על יד</w:t>
      </w:r>
      <w:r w:rsidR="009B2CFD">
        <w:rPr>
          <w:rFonts w:ascii="David" w:eastAsia="Calibri" w:hAnsi="David" w:hint="cs"/>
          <w:b/>
          <w:bCs/>
          <w:noProof w:val="0"/>
          <w:rtl/>
        </w:rPr>
        <w:t>י</w:t>
      </w:r>
      <w:r w:rsidRPr="00E34603">
        <w:rPr>
          <w:rFonts w:ascii="David" w:eastAsia="Calibri" w:hAnsi="David"/>
          <w:b/>
          <w:bCs/>
          <w:noProof w:val="0"/>
          <w:rtl/>
        </w:rPr>
        <w:t xml:space="preserve"> המנוחה </w:t>
      </w:r>
      <w:r w:rsidR="009B2CFD" w:rsidRPr="00E34603">
        <w:rPr>
          <w:rFonts w:ascii="David" w:eastAsia="Calibri" w:hAnsi="David"/>
          <w:b/>
          <w:bCs/>
          <w:noProof w:val="0"/>
          <w:rtl/>
        </w:rPr>
        <w:t>ביחד עם בעלה המנוח בשנת 2005</w:t>
      </w:r>
      <w:r w:rsidR="00F001D7">
        <w:rPr>
          <w:rFonts w:ascii="David" w:eastAsia="Calibri" w:hAnsi="David" w:hint="cs"/>
          <w:b/>
          <w:bCs/>
          <w:noProof w:val="0"/>
          <w:rtl/>
        </w:rPr>
        <w:t xml:space="preserve">, קודם לכניסתו לתוקף של תיקון מס' 12 לחוק הירושה, </w:t>
      </w:r>
      <w:r w:rsidR="009B2CFD">
        <w:rPr>
          <w:rFonts w:ascii="David" w:eastAsia="Calibri" w:hAnsi="David" w:hint="cs"/>
          <w:b/>
          <w:bCs/>
          <w:noProof w:val="0"/>
          <w:rtl/>
        </w:rPr>
        <w:t xml:space="preserve"> </w:t>
      </w:r>
      <w:r w:rsidR="00F001D7">
        <w:rPr>
          <w:rFonts w:ascii="David" w:eastAsia="Calibri" w:hAnsi="David" w:hint="cs"/>
          <w:b/>
          <w:bCs/>
          <w:noProof w:val="0"/>
          <w:rtl/>
        </w:rPr>
        <w:t xml:space="preserve">מונעת מהמנוחה </w:t>
      </w:r>
      <w:r w:rsidR="00DB50FD">
        <w:rPr>
          <w:rFonts w:ascii="David" w:eastAsia="Calibri" w:hAnsi="David"/>
          <w:b/>
          <w:bCs/>
          <w:noProof w:val="0"/>
          <w:rtl/>
        </w:rPr>
        <w:t>לערוך צוואה חדשה בשנת 2015</w:t>
      </w:r>
      <w:r w:rsidR="00DB50FD">
        <w:rPr>
          <w:rFonts w:ascii="David" w:eastAsia="Calibri" w:hAnsi="David" w:hint="cs"/>
          <w:b/>
          <w:bCs/>
          <w:noProof w:val="0"/>
          <w:rtl/>
        </w:rPr>
        <w:t xml:space="preserve">, </w:t>
      </w:r>
      <w:r w:rsidRPr="00E34603">
        <w:rPr>
          <w:rFonts w:ascii="David" w:eastAsia="Calibri" w:hAnsi="David"/>
          <w:b/>
          <w:bCs/>
          <w:noProof w:val="0"/>
          <w:rtl/>
        </w:rPr>
        <w:t>המשנה את הוראות</w:t>
      </w:r>
      <w:r w:rsidR="00F001D7">
        <w:rPr>
          <w:rFonts w:ascii="David" w:eastAsia="Calibri" w:hAnsi="David" w:hint="cs"/>
          <w:b/>
          <w:bCs/>
          <w:noProof w:val="0"/>
          <w:rtl/>
        </w:rPr>
        <w:t xml:space="preserve"> הצוואה ההדדית</w:t>
      </w:r>
      <w:r w:rsidRPr="00E34603">
        <w:rPr>
          <w:rFonts w:ascii="David" w:eastAsia="Calibri" w:hAnsi="David"/>
          <w:b/>
          <w:bCs/>
          <w:noProof w:val="0"/>
          <w:rtl/>
        </w:rPr>
        <w:t xml:space="preserve">? </w:t>
      </w:r>
    </w:p>
    <w:p w:rsidR="00E34603" w:rsidRPr="00E34603" w:rsidRDefault="00E34603" w:rsidP="00E34603">
      <w:pPr>
        <w:spacing w:line="360" w:lineRule="auto"/>
        <w:jc w:val="both"/>
        <w:rPr>
          <w:rFonts w:ascii="David" w:eastAsia="Calibri" w:hAnsi="David"/>
          <w:b/>
          <w:bCs/>
          <w:noProof w:val="0"/>
          <w:rtl/>
        </w:rPr>
      </w:pPr>
    </w:p>
    <w:p w:rsidR="00A57587" w:rsidRDefault="00E34603" w:rsidP="00A13102">
      <w:pPr>
        <w:numPr>
          <w:ilvl w:val="0"/>
          <w:numId w:val="3"/>
        </w:numPr>
        <w:spacing w:after="160" w:line="360" w:lineRule="auto"/>
        <w:ind w:left="368"/>
        <w:contextualSpacing/>
        <w:jc w:val="both"/>
        <w:rPr>
          <w:rFonts w:ascii="David" w:eastAsia="Calibri" w:hAnsi="David"/>
          <w:noProof w:val="0"/>
        </w:rPr>
      </w:pPr>
      <w:r w:rsidRPr="00E34603">
        <w:rPr>
          <w:rFonts w:ascii="David" w:eastAsia="Calibri" w:hAnsi="David"/>
          <w:noProof w:val="0"/>
          <w:rtl/>
        </w:rPr>
        <w:t>בין הצדדים</w:t>
      </w:r>
      <w:r w:rsidR="00833835">
        <w:rPr>
          <w:rFonts w:ascii="David" w:eastAsia="Calibri" w:hAnsi="David" w:hint="cs"/>
          <w:noProof w:val="0"/>
          <w:rtl/>
        </w:rPr>
        <w:t xml:space="preserve"> שלפני</w:t>
      </w:r>
      <w:r w:rsidRPr="00E34603">
        <w:rPr>
          <w:rFonts w:ascii="David" w:eastAsia="Calibri" w:hAnsi="David"/>
          <w:noProof w:val="0"/>
          <w:rtl/>
        </w:rPr>
        <w:t xml:space="preserve"> מתנהלים שלל הליכים הנוגעים לעיזבון המנוחה – הגב' </w:t>
      </w:r>
      <w:r w:rsidR="00A13102">
        <w:rPr>
          <w:rFonts w:ascii="David" w:eastAsia="Calibri" w:hAnsi="David" w:hint="cs"/>
          <w:noProof w:val="0"/>
          <w:rtl/>
        </w:rPr>
        <w:t>מ.ל.</w:t>
      </w:r>
      <w:r w:rsidRPr="00E34603">
        <w:rPr>
          <w:rFonts w:ascii="David" w:eastAsia="Calibri" w:hAnsi="David"/>
          <w:noProof w:val="0"/>
          <w:rtl/>
        </w:rPr>
        <w:t xml:space="preserve"> ז"ל, שהלכה לבית עולמה ביום  30.10.2018 (להלן  - "</w:t>
      </w:r>
      <w:r w:rsidRPr="00E34603">
        <w:rPr>
          <w:rFonts w:ascii="David" w:eastAsia="Calibri" w:hAnsi="David"/>
          <w:b/>
          <w:bCs/>
          <w:noProof w:val="0"/>
          <w:rtl/>
        </w:rPr>
        <w:t>המנוחה</w:t>
      </w:r>
      <w:r w:rsidRPr="00E34603">
        <w:rPr>
          <w:rFonts w:ascii="David" w:eastAsia="Calibri" w:hAnsi="David"/>
          <w:noProof w:val="0"/>
          <w:rtl/>
        </w:rPr>
        <w:t>")</w:t>
      </w:r>
      <w:r w:rsidR="00082F35">
        <w:rPr>
          <w:rFonts w:ascii="David" w:eastAsia="Calibri" w:hAnsi="David" w:hint="cs"/>
          <w:noProof w:val="0"/>
          <w:rtl/>
        </w:rPr>
        <w:t>, והותירה אחריה שתי צוואות, האחת משנת 2005, שנערכה ביחד עם בעלה המנוח, והשניי</w:t>
      </w:r>
      <w:r w:rsidR="00082F35">
        <w:rPr>
          <w:rFonts w:ascii="David" w:eastAsia="Calibri" w:hAnsi="David" w:hint="eastAsia"/>
          <w:noProof w:val="0"/>
          <w:rtl/>
        </w:rPr>
        <w:t>ה</w:t>
      </w:r>
      <w:r w:rsidR="00082F35">
        <w:rPr>
          <w:rFonts w:ascii="David" w:eastAsia="Calibri" w:hAnsi="David" w:hint="cs"/>
          <w:noProof w:val="0"/>
          <w:rtl/>
        </w:rPr>
        <w:t xml:space="preserve"> משנת 2015, שנערכה על ידה לאחר שבעלה המנוח הלך לעולמו</w:t>
      </w:r>
      <w:r w:rsidRPr="00E34603">
        <w:rPr>
          <w:rFonts w:ascii="David" w:eastAsia="Calibri" w:hAnsi="David"/>
          <w:noProof w:val="0"/>
          <w:rtl/>
        </w:rPr>
        <w:t>.</w:t>
      </w:r>
    </w:p>
    <w:p w:rsidR="00A57587" w:rsidRDefault="00A57587" w:rsidP="00A57587">
      <w:pPr>
        <w:spacing w:after="160" w:line="360" w:lineRule="auto"/>
        <w:ind w:left="368"/>
        <w:contextualSpacing/>
        <w:jc w:val="both"/>
        <w:rPr>
          <w:rFonts w:ascii="David" w:eastAsia="Calibri" w:hAnsi="David"/>
          <w:noProof w:val="0"/>
        </w:rPr>
      </w:pPr>
    </w:p>
    <w:p w:rsidR="00FF236C" w:rsidRDefault="00A57587" w:rsidP="00A13102">
      <w:pPr>
        <w:numPr>
          <w:ilvl w:val="0"/>
          <w:numId w:val="3"/>
        </w:numPr>
        <w:spacing w:after="160" w:line="360" w:lineRule="auto"/>
        <w:ind w:left="368"/>
        <w:contextualSpacing/>
        <w:jc w:val="both"/>
        <w:rPr>
          <w:rFonts w:ascii="David" w:eastAsia="Calibri" w:hAnsi="David"/>
          <w:noProof w:val="0"/>
        </w:rPr>
      </w:pPr>
      <w:r w:rsidRPr="00A57587">
        <w:rPr>
          <w:rFonts w:ascii="David" w:eastAsia="Calibri" w:hAnsi="David"/>
          <w:b/>
          <w:bCs/>
          <w:noProof w:val="0"/>
          <w:rtl/>
        </w:rPr>
        <w:t>המבקשת מס' 1</w:t>
      </w:r>
      <w:r w:rsidRPr="00A57587">
        <w:rPr>
          <w:rFonts w:ascii="David" w:eastAsia="Calibri" w:hAnsi="David"/>
          <w:noProof w:val="0"/>
          <w:rtl/>
        </w:rPr>
        <w:t xml:space="preserve"> – הגב' </w:t>
      </w:r>
      <w:r w:rsidR="00A13102">
        <w:rPr>
          <w:rFonts w:ascii="David" w:eastAsia="Calibri" w:hAnsi="David" w:hint="cs"/>
          <w:noProof w:val="0"/>
          <w:rtl/>
        </w:rPr>
        <w:t>א.א.</w:t>
      </w:r>
      <w:r w:rsidRPr="00A57587">
        <w:rPr>
          <w:rFonts w:ascii="David" w:eastAsia="Calibri" w:hAnsi="David"/>
          <w:noProof w:val="0"/>
          <w:rtl/>
        </w:rPr>
        <w:t xml:space="preserve">, היא </w:t>
      </w:r>
      <w:r w:rsidRPr="00A57587">
        <w:rPr>
          <w:rFonts w:ascii="David" w:eastAsia="Calibri" w:hAnsi="David"/>
          <w:b/>
          <w:bCs/>
          <w:noProof w:val="0"/>
          <w:rtl/>
        </w:rPr>
        <w:t>נכדת המנוחה</w:t>
      </w:r>
      <w:r w:rsidRPr="00A57587">
        <w:rPr>
          <w:rFonts w:ascii="David" w:eastAsia="Calibri" w:hAnsi="David"/>
          <w:noProof w:val="0"/>
          <w:rtl/>
        </w:rPr>
        <w:t xml:space="preserve">, בתה של </w:t>
      </w:r>
      <w:r w:rsidR="00A13102">
        <w:rPr>
          <w:rFonts w:ascii="David" w:eastAsia="Calibri" w:hAnsi="David" w:hint="cs"/>
          <w:noProof w:val="0"/>
          <w:rtl/>
        </w:rPr>
        <w:t>ש.ס.</w:t>
      </w:r>
      <w:r w:rsidRPr="00A57587">
        <w:rPr>
          <w:rFonts w:ascii="David" w:eastAsia="Calibri" w:hAnsi="David"/>
          <w:noProof w:val="0"/>
          <w:rtl/>
        </w:rPr>
        <w:t xml:space="preserve"> ז"ל שהלכה לעולמה לפני פטירת המנוחים; </w:t>
      </w:r>
      <w:r w:rsidRPr="00A57587">
        <w:rPr>
          <w:rFonts w:ascii="David" w:eastAsia="Calibri" w:hAnsi="David"/>
          <w:b/>
          <w:bCs/>
          <w:noProof w:val="0"/>
          <w:rtl/>
        </w:rPr>
        <w:t>המבקשות מס' 2-3</w:t>
      </w:r>
      <w:r w:rsidRPr="00A57587">
        <w:rPr>
          <w:rFonts w:ascii="David" w:eastAsia="Calibri" w:hAnsi="David"/>
          <w:noProof w:val="0"/>
          <w:rtl/>
        </w:rPr>
        <w:t xml:space="preserve"> – הגב' </w:t>
      </w:r>
      <w:r w:rsidR="00A13102">
        <w:rPr>
          <w:rFonts w:ascii="David" w:eastAsia="Calibri" w:hAnsi="David" w:hint="cs"/>
          <w:noProof w:val="0"/>
          <w:rtl/>
        </w:rPr>
        <w:t>ס.מ.</w:t>
      </w:r>
      <w:r w:rsidRPr="00A57587">
        <w:rPr>
          <w:rFonts w:ascii="David" w:eastAsia="Calibri" w:hAnsi="David"/>
          <w:noProof w:val="0"/>
          <w:rtl/>
        </w:rPr>
        <w:t xml:space="preserve"> והגב' </w:t>
      </w:r>
      <w:r w:rsidR="00A13102">
        <w:rPr>
          <w:rFonts w:ascii="David" w:eastAsia="Calibri" w:hAnsi="David" w:hint="cs"/>
          <w:noProof w:val="0"/>
          <w:rtl/>
        </w:rPr>
        <w:t>צ.מ.</w:t>
      </w:r>
      <w:r w:rsidRPr="00A57587">
        <w:rPr>
          <w:rFonts w:ascii="David" w:eastAsia="Calibri" w:hAnsi="David"/>
          <w:noProof w:val="0"/>
          <w:rtl/>
        </w:rPr>
        <w:t xml:space="preserve">, הן </w:t>
      </w:r>
      <w:r w:rsidRPr="00A57587">
        <w:rPr>
          <w:rFonts w:ascii="David" w:eastAsia="Calibri" w:hAnsi="David"/>
          <w:b/>
          <w:bCs/>
          <w:noProof w:val="0"/>
          <w:rtl/>
        </w:rPr>
        <w:t>בנות</w:t>
      </w:r>
      <w:r w:rsidRPr="00A57587">
        <w:rPr>
          <w:rFonts w:ascii="David" w:eastAsia="Calibri" w:hAnsi="David"/>
          <w:noProof w:val="0"/>
          <w:rtl/>
        </w:rPr>
        <w:t xml:space="preserve"> המנוחה, דודותיה של המבקשת 1; </w:t>
      </w:r>
      <w:r w:rsidRPr="00A57587">
        <w:rPr>
          <w:rFonts w:ascii="David" w:eastAsia="Calibri" w:hAnsi="David"/>
          <w:b/>
          <w:bCs/>
          <w:noProof w:val="0"/>
          <w:rtl/>
        </w:rPr>
        <w:t>המשיב</w:t>
      </w:r>
      <w:r w:rsidRPr="00A57587">
        <w:rPr>
          <w:rFonts w:ascii="David" w:eastAsia="Calibri" w:hAnsi="David"/>
          <w:noProof w:val="0"/>
          <w:rtl/>
        </w:rPr>
        <w:t xml:space="preserve"> – מר </w:t>
      </w:r>
      <w:r w:rsidR="00A13102">
        <w:rPr>
          <w:rFonts w:ascii="David" w:eastAsia="Calibri" w:hAnsi="David" w:hint="cs"/>
          <w:noProof w:val="0"/>
          <w:rtl/>
        </w:rPr>
        <w:t>א.ל.</w:t>
      </w:r>
      <w:r w:rsidRPr="00A57587">
        <w:rPr>
          <w:rFonts w:ascii="David" w:eastAsia="Calibri" w:hAnsi="David"/>
          <w:noProof w:val="0"/>
          <w:rtl/>
        </w:rPr>
        <w:t xml:space="preserve"> הוא </w:t>
      </w:r>
      <w:r w:rsidRPr="00A57587">
        <w:rPr>
          <w:rFonts w:ascii="David" w:eastAsia="Calibri" w:hAnsi="David"/>
          <w:b/>
          <w:bCs/>
          <w:noProof w:val="0"/>
          <w:rtl/>
        </w:rPr>
        <w:t>בנה</w:t>
      </w:r>
      <w:r w:rsidRPr="00A57587">
        <w:rPr>
          <w:rFonts w:ascii="David" w:eastAsia="Calibri" w:hAnsi="David"/>
          <w:noProof w:val="0"/>
          <w:rtl/>
        </w:rPr>
        <w:t xml:space="preserve"> של המנוחה, אחיהן של המבקשות 2-3 ודוד המבקשת 1; </w:t>
      </w:r>
    </w:p>
    <w:p w:rsidR="00FF236C" w:rsidRDefault="00FF236C" w:rsidP="00FF236C">
      <w:pPr>
        <w:pStyle w:val="ae"/>
        <w:rPr>
          <w:rFonts w:ascii="David" w:eastAsia="Calibri" w:hAnsi="David"/>
          <w:noProof w:val="0"/>
          <w:rtl/>
        </w:rPr>
      </w:pPr>
    </w:p>
    <w:p w:rsidR="00A57587" w:rsidRDefault="00FF236C" w:rsidP="00C609C5">
      <w:pPr>
        <w:numPr>
          <w:ilvl w:val="0"/>
          <w:numId w:val="3"/>
        </w:numPr>
        <w:spacing w:after="160" w:line="360" w:lineRule="auto"/>
        <w:ind w:left="368"/>
        <w:contextualSpacing/>
        <w:jc w:val="both"/>
        <w:rPr>
          <w:rFonts w:ascii="David" w:eastAsia="Calibri" w:hAnsi="David"/>
          <w:noProof w:val="0"/>
        </w:rPr>
      </w:pPr>
      <w:r w:rsidRPr="00FF236C">
        <w:rPr>
          <w:rFonts w:ascii="David" w:eastAsia="Calibri" w:hAnsi="David" w:hint="cs"/>
          <w:noProof w:val="0"/>
          <w:rtl/>
        </w:rPr>
        <w:t>הצדדים נחלקו לשתי מחנות -</w:t>
      </w:r>
      <w:r>
        <w:rPr>
          <w:rFonts w:ascii="David" w:eastAsia="Calibri" w:hAnsi="David" w:hint="cs"/>
          <w:b/>
          <w:bCs/>
          <w:noProof w:val="0"/>
          <w:rtl/>
        </w:rPr>
        <w:t xml:space="preserve"> </w:t>
      </w:r>
      <w:r w:rsidRPr="00FF236C">
        <w:rPr>
          <w:rFonts w:ascii="David" w:eastAsia="Calibri" w:hAnsi="David" w:hint="cs"/>
          <w:b/>
          <w:bCs/>
          <w:noProof w:val="0"/>
          <w:rtl/>
        </w:rPr>
        <w:t>המבקשות</w:t>
      </w:r>
      <w:r w:rsidRPr="00FF236C">
        <w:rPr>
          <w:rFonts w:ascii="David" w:eastAsia="Calibri" w:hAnsi="David" w:hint="cs"/>
          <w:noProof w:val="0"/>
          <w:rtl/>
        </w:rPr>
        <w:t xml:space="preserve"> התנגדו כולן ל</w:t>
      </w:r>
      <w:r w:rsidRPr="00FF236C">
        <w:rPr>
          <w:rFonts w:ascii="David" w:eastAsia="Calibri" w:hAnsi="David"/>
          <w:noProof w:val="0"/>
          <w:rtl/>
        </w:rPr>
        <w:t xml:space="preserve">קיום הצוואה משנת 2015 </w:t>
      </w:r>
      <w:r>
        <w:rPr>
          <w:rFonts w:ascii="David" w:eastAsia="Calibri" w:hAnsi="David" w:hint="cs"/>
          <w:noProof w:val="0"/>
          <w:rtl/>
        </w:rPr>
        <w:t xml:space="preserve">(מטעמים של </w:t>
      </w:r>
      <w:r w:rsidRPr="00FF236C">
        <w:rPr>
          <w:rFonts w:ascii="David" w:eastAsia="Calibri" w:hAnsi="David"/>
          <w:noProof w:val="0"/>
          <w:rtl/>
        </w:rPr>
        <w:t xml:space="preserve">היעדר כשירות, מעורבות המשיב בעריכת הצוואה והשפעה בלתי הוגנת </w:t>
      </w:r>
      <w:r>
        <w:rPr>
          <w:rFonts w:ascii="David" w:eastAsia="Calibri" w:hAnsi="David" w:hint="cs"/>
          <w:noProof w:val="0"/>
          <w:rtl/>
        </w:rPr>
        <w:t>שלו</w:t>
      </w:r>
      <w:r w:rsidRPr="00FF236C">
        <w:rPr>
          <w:rFonts w:ascii="David" w:eastAsia="Calibri" w:hAnsi="David"/>
          <w:noProof w:val="0"/>
          <w:rtl/>
        </w:rPr>
        <w:t xml:space="preserve"> על המנוחה</w:t>
      </w:r>
      <w:r>
        <w:rPr>
          <w:rFonts w:ascii="David" w:eastAsia="Calibri" w:hAnsi="David" w:hint="cs"/>
          <w:noProof w:val="0"/>
          <w:rtl/>
        </w:rPr>
        <w:t xml:space="preserve">) </w:t>
      </w:r>
      <w:r w:rsidRPr="00FF236C">
        <w:rPr>
          <w:rFonts w:ascii="David" w:eastAsia="Calibri" w:hAnsi="David" w:hint="cs"/>
          <w:noProof w:val="0"/>
          <w:rtl/>
        </w:rPr>
        <w:t xml:space="preserve">ועתרו </w:t>
      </w:r>
      <w:r w:rsidR="00A57587" w:rsidRPr="00FF236C">
        <w:rPr>
          <w:rFonts w:ascii="David" w:eastAsia="Calibri" w:hAnsi="David"/>
          <w:noProof w:val="0"/>
          <w:rtl/>
        </w:rPr>
        <w:lastRenderedPageBreak/>
        <w:t xml:space="preserve">לקיום הצוואה ההדדית משנת 2005 </w:t>
      </w:r>
      <w:r>
        <w:rPr>
          <w:rFonts w:ascii="David" w:eastAsia="Calibri" w:hAnsi="David" w:hint="cs"/>
          <w:noProof w:val="0"/>
          <w:rtl/>
        </w:rPr>
        <w:t xml:space="preserve">; </w:t>
      </w:r>
      <w:r w:rsidRPr="00FF236C">
        <w:rPr>
          <w:rFonts w:ascii="David" w:eastAsia="Calibri" w:hAnsi="David" w:hint="cs"/>
          <w:b/>
          <w:bCs/>
          <w:noProof w:val="0"/>
          <w:rtl/>
        </w:rPr>
        <w:t>המשיב</w:t>
      </w:r>
      <w:r>
        <w:rPr>
          <w:rFonts w:ascii="David" w:eastAsia="Calibri" w:hAnsi="David" w:hint="cs"/>
          <w:noProof w:val="0"/>
          <w:rtl/>
        </w:rPr>
        <w:t xml:space="preserve"> מנגד התנגד לצוואת 2005 (בשל קיומה של צוואה מאוחרת) ועתר מצדו לקיום הצוואה משנת 2015.</w:t>
      </w:r>
      <w:r w:rsidRPr="00A57587">
        <w:rPr>
          <w:rFonts w:ascii="David" w:eastAsia="Calibri" w:hAnsi="David"/>
          <w:noProof w:val="0"/>
          <w:rtl/>
        </w:rPr>
        <w:t xml:space="preserve"> </w:t>
      </w:r>
    </w:p>
    <w:p w:rsidR="001D060D" w:rsidRPr="00C609C5" w:rsidRDefault="001D060D" w:rsidP="001D060D">
      <w:pPr>
        <w:spacing w:after="160" w:line="360" w:lineRule="auto"/>
        <w:contextualSpacing/>
        <w:jc w:val="both"/>
        <w:rPr>
          <w:rFonts w:ascii="David" w:eastAsia="Calibri" w:hAnsi="David"/>
          <w:noProof w:val="0"/>
          <w:rtl/>
        </w:rPr>
      </w:pPr>
    </w:p>
    <w:p w:rsidR="00B478FB" w:rsidRDefault="00B478FB" w:rsidP="00B478FB">
      <w:pPr>
        <w:numPr>
          <w:ilvl w:val="0"/>
          <w:numId w:val="3"/>
        </w:numPr>
        <w:spacing w:after="160" w:line="360" w:lineRule="auto"/>
        <w:ind w:left="368"/>
        <w:contextualSpacing/>
        <w:jc w:val="both"/>
        <w:rPr>
          <w:rFonts w:ascii="David" w:eastAsia="Calibri" w:hAnsi="David"/>
          <w:noProof w:val="0"/>
        </w:rPr>
      </w:pPr>
      <w:r w:rsidRPr="00E34603">
        <w:rPr>
          <w:rFonts w:ascii="David" w:eastAsia="Calibri" w:hAnsi="David"/>
          <w:noProof w:val="0"/>
          <w:rtl/>
        </w:rPr>
        <w:t>בדיון מיום 5.</w:t>
      </w:r>
      <w:r>
        <w:rPr>
          <w:rFonts w:ascii="David" w:eastAsia="Calibri" w:hAnsi="David" w:hint="cs"/>
          <w:noProof w:val="0"/>
          <w:rtl/>
        </w:rPr>
        <w:t>7</w:t>
      </w:r>
      <w:r w:rsidRPr="00E34603">
        <w:rPr>
          <w:rFonts w:ascii="David" w:eastAsia="Calibri" w:hAnsi="David"/>
          <w:noProof w:val="0"/>
          <w:rtl/>
        </w:rPr>
        <w:t xml:space="preserve">.23 הסכימו </w:t>
      </w:r>
      <w:r w:rsidR="00F001D7">
        <w:rPr>
          <w:rFonts w:ascii="David" w:eastAsia="Calibri" w:hAnsi="David" w:hint="cs"/>
          <w:noProof w:val="0"/>
          <w:rtl/>
        </w:rPr>
        <w:t xml:space="preserve">הצדדים כי השאלה האם הצוואה ההדדית מונעת עריכת צוואה מאוחרת המבטלת את הוראותיה תידון </w:t>
      </w:r>
      <w:r w:rsidR="00F001D7" w:rsidRPr="00B478FB">
        <w:rPr>
          <w:rFonts w:ascii="David" w:eastAsia="Calibri" w:hAnsi="David" w:hint="cs"/>
          <w:b/>
          <w:bCs/>
          <w:noProof w:val="0"/>
          <w:rtl/>
        </w:rPr>
        <w:t>כשאלה מקדמית</w:t>
      </w:r>
      <w:r w:rsidR="00F001D7">
        <w:rPr>
          <w:rFonts w:ascii="David" w:eastAsia="Calibri" w:hAnsi="David" w:hint="cs"/>
          <w:noProof w:val="0"/>
          <w:rtl/>
        </w:rPr>
        <w:t xml:space="preserve"> </w:t>
      </w:r>
      <w:r w:rsidR="00833835">
        <w:rPr>
          <w:rFonts w:ascii="David" w:eastAsia="Calibri" w:hAnsi="David" w:hint="cs"/>
          <w:noProof w:val="0"/>
          <w:rtl/>
        </w:rPr>
        <w:t xml:space="preserve">על סמך סיכום טענות הצדדים, </w:t>
      </w:r>
      <w:r>
        <w:rPr>
          <w:rFonts w:ascii="David" w:eastAsia="Calibri" w:hAnsi="David" w:hint="cs"/>
          <w:noProof w:val="0"/>
          <w:rtl/>
        </w:rPr>
        <w:t xml:space="preserve">אשר </w:t>
      </w:r>
      <w:r w:rsidRPr="00E34603">
        <w:rPr>
          <w:rFonts w:ascii="David" w:eastAsia="Calibri" w:hAnsi="David"/>
          <w:noProof w:val="0"/>
          <w:rtl/>
        </w:rPr>
        <w:t>לאחר הכרעה בה, וכפועל יוצא ממנה, ייקבע המתווה הדיוני בהליכים דנן.</w:t>
      </w:r>
      <w:r>
        <w:rPr>
          <w:rFonts w:ascii="David" w:eastAsia="Calibri" w:hAnsi="David" w:hint="cs"/>
          <w:noProof w:val="0"/>
          <w:rtl/>
        </w:rPr>
        <w:t xml:space="preserve"> (ראו גם: החלטה מיום 4.2.24). </w:t>
      </w:r>
    </w:p>
    <w:p w:rsidR="00B478FB" w:rsidRDefault="00B478FB" w:rsidP="00B478FB">
      <w:pPr>
        <w:pStyle w:val="ae"/>
        <w:rPr>
          <w:rFonts w:ascii="David" w:eastAsia="Calibri" w:hAnsi="David"/>
          <w:noProof w:val="0"/>
          <w:rtl/>
        </w:rPr>
      </w:pPr>
    </w:p>
    <w:p w:rsidR="00F001D7" w:rsidRDefault="00B478FB" w:rsidP="00FF236C">
      <w:pPr>
        <w:numPr>
          <w:ilvl w:val="0"/>
          <w:numId w:val="3"/>
        </w:numPr>
        <w:spacing w:after="160" w:line="360" w:lineRule="auto"/>
        <w:ind w:left="368"/>
        <w:contextualSpacing/>
        <w:jc w:val="both"/>
        <w:rPr>
          <w:rFonts w:ascii="David" w:eastAsia="Calibri" w:hAnsi="David"/>
          <w:noProof w:val="0"/>
        </w:rPr>
      </w:pPr>
      <w:r>
        <w:rPr>
          <w:rFonts w:ascii="David" w:eastAsia="Calibri" w:hAnsi="David" w:hint="cs"/>
          <w:noProof w:val="0"/>
          <w:rtl/>
        </w:rPr>
        <w:t>לאחר שהליך הגישור אליו הופנו הצדדים לא צלח</w:t>
      </w:r>
      <w:r w:rsidR="004F4CB6">
        <w:rPr>
          <w:rFonts w:ascii="David" w:eastAsia="Calibri" w:hAnsi="David" w:hint="cs"/>
          <w:noProof w:val="0"/>
          <w:rtl/>
        </w:rPr>
        <w:t xml:space="preserve">, </w:t>
      </w:r>
      <w:r>
        <w:rPr>
          <w:rFonts w:ascii="David" w:eastAsia="Calibri" w:hAnsi="David" w:hint="cs"/>
          <w:noProof w:val="0"/>
          <w:rtl/>
        </w:rPr>
        <w:t xml:space="preserve">הצדדים </w:t>
      </w:r>
      <w:r w:rsidR="00F001D7">
        <w:rPr>
          <w:rFonts w:ascii="David" w:eastAsia="Calibri" w:hAnsi="David" w:hint="cs"/>
          <w:noProof w:val="0"/>
          <w:rtl/>
        </w:rPr>
        <w:t xml:space="preserve">הגישו סיכום טענותיהם בנדון, </w:t>
      </w:r>
      <w:r w:rsidR="00FF236C">
        <w:rPr>
          <w:rFonts w:ascii="David" w:eastAsia="Calibri" w:hAnsi="David" w:hint="cs"/>
          <w:noProof w:val="0"/>
          <w:rtl/>
        </w:rPr>
        <w:t>ואף הוגשה עמדתו של ב"כ היועמ"ש מ</w:t>
      </w:r>
      <w:r>
        <w:rPr>
          <w:rFonts w:ascii="David" w:eastAsia="Calibri" w:hAnsi="David" w:hint="cs"/>
          <w:noProof w:val="0"/>
          <w:rtl/>
        </w:rPr>
        <w:t xml:space="preserve">יום 18.8.24, </w:t>
      </w:r>
      <w:r w:rsidR="00FF236C">
        <w:rPr>
          <w:rFonts w:ascii="David" w:eastAsia="Calibri" w:hAnsi="David" w:hint="cs"/>
          <w:noProof w:val="0"/>
          <w:rtl/>
        </w:rPr>
        <w:t>אפנה לה</w:t>
      </w:r>
      <w:r w:rsidR="00F001D7">
        <w:rPr>
          <w:rFonts w:ascii="David" w:eastAsia="Calibri" w:hAnsi="David" w:hint="cs"/>
          <w:noProof w:val="0"/>
          <w:rtl/>
        </w:rPr>
        <w:t>כריע בשלב מקדמי זה בסוגיה הנדונה.</w:t>
      </w:r>
    </w:p>
    <w:p w:rsidR="00833835" w:rsidRDefault="00833835" w:rsidP="00833835">
      <w:pPr>
        <w:pStyle w:val="ae"/>
        <w:rPr>
          <w:rFonts w:ascii="David" w:eastAsia="Calibri" w:hAnsi="David"/>
          <w:noProof w:val="0"/>
          <w:rtl/>
        </w:rPr>
      </w:pPr>
    </w:p>
    <w:p w:rsidR="00F001D7" w:rsidRPr="00F001D7" w:rsidRDefault="00134408" w:rsidP="00F001D7">
      <w:pPr>
        <w:spacing w:after="160" w:line="360" w:lineRule="auto"/>
        <w:contextualSpacing/>
        <w:jc w:val="both"/>
        <w:rPr>
          <w:rFonts w:ascii="David" w:eastAsia="Calibri" w:hAnsi="David"/>
          <w:b/>
          <w:bCs/>
          <w:noProof w:val="0"/>
          <w:rtl/>
        </w:rPr>
      </w:pPr>
      <w:r w:rsidRPr="00FF5974">
        <w:rPr>
          <w:rFonts w:ascii="David" w:eastAsia="Calibri" w:hAnsi="David" w:hint="cs"/>
          <w:b/>
          <w:bCs/>
          <w:noProof w:val="0"/>
          <w:rtl/>
        </w:rPr>
        <w:t>הרקע להליך</w:t>
      </w:r>
    </w:p>
    <w:p w:rsidR="00E34603" w:rsidRPr="00E34603" w:rsidRDefault="00E34603" w:rsidP="00E34603">
      <w:pPr>
        <w:spacing w:line="360" w:lineRule="auto"/>
        <w:ind w:left="368"/>
        <w:contextualSpacing/>
        <w:jc w:val="both"/>
        <w:rPr>
          <w:rFonts w:ascii="David" w:eastAsia="Calibri" w:hAnsi="David"/>
          <w:noProof w:val="0"/>
        </w:rPr>
      </w:pPr>
    </w:p>
    <w:p w:rsidR="00E34603" w:rsidRDefault="00E34603" w:rsidP="00A13102">
      <w:pPr>
        <w:numPr>
          <w:ilvl w:val="0"/>
          <w:numId w:val="3"/>
        </w:numPr>
        <w:spacing w:after="160" w:line="360" w:lineRule="auto"/>
        <w:ind w:left="368"/>
        <w:contextualSpacing/>
        <w:jc w:val="both"/>
        <w:rPr>
          <w:rFonts w:ascii="David" w:eastAsia="Calibri" w:hAnsi="David"/>
          <w:noProof w:val="0"/>
        </w:rPr>
      </w:pPr>
      <w:r w:rsidRPr="00E34603">
        <w:rPr>
          <w:rFonts w:ascii="David" w:eastAsia="Calibri" w:hAnsi="David"/>
          <w:noProof w:val="0"/>
          <w:rtl/>
        </w:rPr>
        <w:t xml:space="preserve">ביום 27.4.2005 נערכה על ידי המנוחה, ביחד עם בעלה המנוח- מר </w:t>
      </w:r>
      <w:r w:rsidR="00A13102">
        <w:rPr>
          <w:rFonts w:ascii="David" w:eastAsia="Calibri" w:hAnsi="David" w:hint="cs"/>
          <w:noProof w:val="0"/>
          <w:rtl/>
        </w:rPr>
        <w:t>נ.ל.</w:t>
      </w:r>
      <w:r w:rsidRPr="00E34603">
        <w:rPr>
          <w:rFonts w:ascii="David" w:eastAsia="Calibri" w:hAnsi="David"/>
          <w:noProof w:val="0"/>
          <w:rtl/>
        </w:rPr>
        <w:t xml:space="preserve"> ז"ל (להלן- "</w:t>
      </w:r>
      <w:r w:rsidRPr="00E34603">
        <w:rPr>
          <w:rFonts w:ascii="David" w:eastAsia="Calibri" w:hAnsi="David"/>
          <w:b/>
          <w:bCs/>
          <w:noProof w:val="0"/>
          <w:rtl/>
        </w:rPr>
        <w:t>המנוח</w:t>
      </w:r>
      <w:r w:rsidRPr="00E34603">
        <w:rPr>
          <w:rFonts w:ascii="David" w:eastAsia="Calibri" w:hAnsi="David"/>
          <w:noProof w:val="0"/>
          <w:rtl/>
        </w:rPr>
        <w:t>"; ושניהם יחדיו – "</w:t>
      </w:r>
      <w:r w:rsidRPr="00E34603">
        <w:rPr>
          <w:rFonts w:ascii="David" w:eastAsia="Calibri" w:hAnsi="David"/>
          <w:b/>
          <w:bCs/>
          <w:noProof w:val="0"/>
          <w:rtl/>
        </w:rPr>
        <w:t>המנוחים</w:t>
      </w:r>
      <w:r w:rsidRPr="00E34603">
        <w:rPr>
          <w:rFonts w:ascii="David" w:eastAsia="Calibri" w:hAnsi="David"/>
          <w:noProof w:val="0"/>
          <w:rtl/>
        </w:rPr>
        <w:t xml:space="preserve">") – </w:t>
      </w:r>
      <w:r w:rsidRPr="00E34603">
        <w:rPr>
          <w:rFonts w:ascii="David" w:eastAsia="Calibri" w:hAnsi="David"/>
          <w:b/>
          <w:bCs/>
          <w:noProof w:val="0"/>
          <w:rtl/>
        </w:rPr>
        <w:t>צוואה משותפת</w:t>
      </w:r>
      <w:r w:rsidRPr="00E34603">
        <w:rPr>
          <w:rFonts w:ascii="David" w:eastAsia="Calibri" w:hAnsi="David"/>
          <w:noProof w:val="0"/>
          <w:rtl/>
        </w:rPr>
        <w:t xml:space="preserve"> על גבי מסמך אחד שכונה על פי כותרתו – "צוואה", שנחתמה בפני שני עדים (להלן תיקרא – "</w:t>
      </w:r>
      <w:r w:rsidRPr="00E34603">
        <w:rPr>
          <w:rFonts w:ascii="David" w:eastAsia="Calibri" w:hAnsi="David"/>
          <w:b/>
          <w:bCs/>
          <w:noProof w:val="0"/>
          <w:rtl/>
        </w:rPr>
        <w:t>הצוואה ההדדית</w:t>
      </w:r>
      <w:r w:rsidRPr="00E34603">
        <w:rPr>
          <w:rFonts w:ascii="David" w:eastAsia="Calibri" w:hAnsi="David"/>
          <w:noProof w:val="0"/>
          <w:rtl/>
        </w:rPr>
        <w:t>", או "</w:t>
      </w:r>
      <w:r w:rsidRPr="00E34603">
        <w:rPr>
          <w:rFonts w:ascii="David" w:eastAsia="Calibri" w:hAnsi="David"/>
          <w:b/>
          <w:bCs/>
          <w:noProof w:val="0"/>
          <w:rtl/>
        </w:rPr>
        <w:t>צוואת 2005</w:t>
      </w:r>
      <w:r w:rsidRPr="00E34603">
        <w:rPr>
          <w:rFonts w:ascii="David" w:eastAsia="Calibri" w:hAnsi="David"/>
          <w:noProof w:val="0"/>
          <w:rtl/>
        </w:rPr>
        <w:t>").</w:t>
      </w:r>
    </w:p>
    <w:p w:rsidR="00DB50FD" w:rsidRPr="00E34603" w:rsidRDefault="00DB50FD" w:rsidP="00DB50FD">
      <w:pPr>
        <w:spacing w:after="160" w:line="360" w:lineRule="auto"/>
        <w:ind w:left="368"/>
        <w:contextualSpacing/>
        <w:jc w:val="both"/>
        <w:rPr>
          <w:rFonts w:ascii="David" w:eastAsia="Calibri" w:hAnsi="David"/>
          <w:noProof w:val="0"/>
        </w:rPr>
      </w:pPr>
    </w:p>
    <w:p w:rsidR="00E34603" w:rsidRPr="00E34603" w:rsidRDefault="00E34603" w:rsidP="00E34603">
      <w:pPr>
        <w:numPr>
          <w:ilvl w:val="0"/>
          <w:numId w:val="3"/>
        </w:numPr>
        <w:spacing w:after="160" w:line="360" w:lineRule="auto"/>
        <w:ind w:left="368"/>
        <w:contextualSpacing/>
        <w:jc w:val="both"/>
        <w:rPr>
          <w:rFonts w:ascii="David" w:eastAsia="Calibri" w:hAnsi="David"/>
          <w:noProof w:val="0"/>
        </w:rPr>
      </w:pPr>
      <w:r w:rsidRPr="00E34603">
        <w:rPr>
          <w:rFonts w:ascii="David" w:eastAsia="Calibri" w:hAnsi="David"/>
          <w:noProof w:val="0"/>
          <w:rtl/>
        </w:rPr>
        <w:t xml:space="preserve">להלן יובאו ההוראות הרלוונטיות לדיון לפנינו, ביניהן </w:t>
      </w:r>
      <w:r w:rsidRPr="00E34603">
        <w:rPr>
          <w:rFonts w:ascii="David" w:eastAsia="Calibri" w:hAnsi="David"/>
          <w:b/>
          <w:bCs/>
          <w:noProof w:val="0"/>
          <w:rtl/>
        </w:rPr>
        <w:t>הוראת סעיף 11</w:t>
      </w:r>
      <w:r w:rsidRPr="00E34603">
        <w:rPr>
          <w:rFonts w:ascii="David" w:eastAsia="Calibri" w:hAnsi="David"/>
          <w:noProof w:val="0"/>
          <w:rtl/>
        </w:rPr>
        <w:t xml:space="preserve">  - שהיא לב המחלוקת בהכרעה המקדמית דנן</w:t>
      </w:r>
      <w:r w:rsidR="00F001D7">
        <w:rPr>
          <w:rFonts w:ascii="David" w:eastAsia="Calibri" w:hAnsi="David" w:hint="cs"/>
          <w:noProof w:val="0"/>
          <w:rtl/>
        </w:rPr>
        <w:t>, שבשל חשיבותן לצורך הדיון יצוטטו להלן</w:t>
      </w:r>
      <w:r w:rsidRPr="00E34603">
        <w:rPr>
          <w:rFonts w:ascii="David" w:eastAsia="Calibri" w:hAnsi="David"/>
          <w:noProof w:val="0"/>
          <w:rtl/>
        </w:rPr>
        <w:t>:</w:t>
      </w:r>
    </w:p>
    <w:p w:rsidR="00E34603" w:rsidRPr="00E34603" w:rsidRDefault="00E34603" w:rsidP="00E34603">
      <w:pPr>
        <w:spacing w:after="160" w:line="256" w:lineRule="auto"/>
        <w:ind w:left="368"/>
        <w:contextualSpacing/>
        <w:jc w:val="both"/>
        <w:rPr>
          <w:rFonts w:ascii="David" w:eastAsia="Calibri" w:hAnsi="David"/>
          <w:noProof w:val="0"/>
        </w:rPr>
      </w:pPr>
    </w:p>
    <w:p w:rsidR="00E34603" w:rsidRPr="00E34603" w:rsidRDefault="00E34603" w:rsidP="00E34603">
      <w:pPr>
        <w:spacing w:line="360" w:lineRule="auto"/>
        <w:ind w:left="793" w:right="851"/>
        <w:contextualSpacing/>
        <w:jc w:val="both"/>
        <w:rPr>
          <w:rFonts w:ascii="David" w:eastAsia="Calibri" w:hAnsi="David"/>
          <w:noProof w:val="0"/>
          <w:rtl/>
        </w:rPr>
      </w:pPr>
      <w:r w:rsidRPr="00E34603">
        <w:rPr>
          <w:rFonts w:ascii="David" w:eastAsia="Calibri" w:hAnsi="David"/>
          <w:noProof w:val="0"/>
          <w:rtl/>
        </w:rPr>
        <w:t>"3. כל הספקות שעלולות להתעורר בקשר ועם צוואה זו ו/או עם פרושה יהיו נידונות עפ"י הפוסק או הדעה המקיימת את הצוואה הזו ואת קנייני הזוכים בה ומכוחה.</w:t>
      </w:r>
    </w:p>
    <w:p w:rsidR="00E34603" w:rsidRPr="00E34603" w:rsidRDefault="00E34603" w:rsidP="00A13102">
      <w:pPr>
        <w:spacing w:line="360" w:lineRule="auto"/>
        <w:ind w:left="793" w:right="851"/>
        <w:contextualSpacing/>
        <w:jc w:val="both"/>
        <w:rPr>
          <w:rFonts w:ascii="David" w:eastAsia="Calibri" w:hAnsi="David"/>
          <w:noProof w:val="0"/>
          <w:rtl/>
        </w:rPr>
      </w:pPr>
      <w:r w:rsidRPr="00E34603">
        <w:rPr>
          <w:rFonts w:ascii="David" w:eastAsia="Calibri" w:hAnsi="David"/>
          <w:noProof w:val="0"/>
          <w:rtl/>
        </w:rPr>
        <w:t xml:space="preserve">4. מבלי לפגוע בכל האמור לעיל ובכלליות האמור לעיל, הרי אנו </w:t>
      </w:r>
      <w:r w:rsidR="00A13102">
        <w:rPr>
          <w:rFonts w:ascii="David" w:eastAsia="Calibri" w:hAnsi="David" w:hint="cs"/>
          <w:noProof w:val="0"/>
          <w:rtl/>
        </w:rPr>
        <w:t>ל.מ</w:t>
      </w:r>
      <w:r w:rsidRPr="00E34603">
        <w:rPr>
          <w:rFonts w:ascii="David" w:eastAsia="Calibri" w:hAnsi="David"/>
          <w:noProof w:val="0"/>
          <w:rtl/>
        </w:rPr>
        <w:t>....ול</w:t>
      </w:r>
      <w:r w:rsidR="00A13102">
        <w:rPr>
          <w:rFonts w:ascii="David" w:eastAsia="Calibri" w:hAnsi="David" w:hint="cs"/>
          <w:noProof w:val="0"/>
          <w:rtl/>
        </w:rPr>
        <w:t>.נ.</w:t>
      </w:r>
      <w:r w:rsidRPr="00E34603">
        <w:rPr>
          <w:rFonts w:ascii="David" w:eastAsia="Calibri" w:hAnsi="David"/>
          <w:noProof w:val="0"/>
          <w:rtl/>
        </w:rPr>
        <w:t xml:space="preserve">....מצווים בזה את כל רכושנו.....כל אחד לבן זוגו שיוותר בחיים, קרי אם אני </w:t>
      </w:r>
      <w:r w:rsidR="00A13102">
        <w:rPr>
          <w:rFonts w:ascii="David" w:eastAsia="Calibri" w:hAnsi="David" w:hint="cs"/>
          <w:noProof w:val="0"/>
          <w:rtl/>
        </w:rPr>
        <w:t>מ.ל.</w:t>
      </w:r>
      <w:r w:rsidRPr="00E34603">
        <w:rPr>
          <w:rFonts w:ascii="David" w:eastAsia="Calibri" w:hAnsi="David"/>
          <w:noProof w:val="0"/>
          <w:rtl/>
        </w:rPr>
        <w:t xml:space="preserve"> אלך לעולמי לפני בעלי מר </w:t>
      </w:r>
      <w:r w:rsidR="00A13102">
        <w:rPr>
          <w:rFonts w:ascii="David" w:eastAsia="Calibri" w:hAnsi="David" w:hint="cs"/>
          <w:noProof w:val="0"/>
          <w:rtl/>
        </w:rPr>
        <w:t>נ.ל.</w:t>
      </w:r>
      <w:r w:rsidRPr="00E34603">
        <w:rPr>
          <w:rFonts w:ascii="David" w:eastAsia="Calibri" w:hAnsi="David"/>
          <w:noProof w:val="0"/>
          <w:rtl/>
        </w:rPr>
        <w:t xml:space="preserve">, כל רכושי מכל סוג כאמור, יעבור לבעלי, כנ"ל אם אני </w:t>
      </w:r>
      <w:r w:rsidR="00A13102">
        <w:rPr>
          <w:rFonts w:ascii="David" w:eastAsia="Calibri" w:hAnsi="David" w:hint="cs"/>
          <w:noProof w:val="0"/>
          <w:rtl/>
        </w:rPr>
        <w:t>נ.ל.</w:t>
      </w:r>
      <w:r w:rsidRPr="00E34603">
        <w:rPr>
          <w:rFonts w:ascii="David" w:eastAsia="Calibri" w:hAnsi="David"/>
          <w:noProof w:val="0"/>
          <w:rtl/>
        </w:rPr>
        <w:t xml:space="preserve"> אלך לעולמי לפני אישתי </w:t>
      </w:r>
      <w:r w:rsidR="00A13102">
        <w:rPr>
          <w:rFonts w:ascii="David" w:eastAsia="Calibri" w:hAnsi="David" w:hint="cs"/>
          <w:noProof w:val="0"/>
          <w:rtl/>
        </w:rPr>
        <w:t>מ.ל.</w:t>
      </w:r>
      <w:r w:rsidRPr="00E34603">
        <w:rPr>
          <w:rFonts w:ascii="David" w:eastAsia="Calibri" w:hAnsi="David"/>
          <w:noProof w:val="0"/>
          <w:rtl/>
        </w:rPr>
        <w:t xml:space="preserve">, כל רכושי מכל סוג כאמור, יעבור לאישתי </w:t>
      </w:r>
      <w:r w:rsidR="00A13102">
        <w:rPr>
          <w:rFonts w:ascii="David" w:eastAsia="Calibri" w:hAnsi="David" w:hint="cs"/>
          <w:noProof w:val="0"/>
          <w:rtl/>
        </w:rPr>
        <w:t>מ.ל.</w:t>
      </w:r>
      <w:r w:rsidRPr="00E34603">
        <w:rPr>
          <w:rFonts w:ascii="David" w:eastAsia="Calibri" w:hAnsi="David"/>
          <w:noProof w:val="0"/>
          <w:rtl/>
        </w:rPr>
        <w:t>.</w:t>
      </w:r>
    </w:p>
    <w:p w:rsidR="00E34603" w:rsidRPr="00E34603" w:rsidRDefault="00E34603" w:rsidP="00E34603">
      <w:pPr>
        <w:spacing w:line="360" w:lineRule="auto"/>
        <w:ind w:left="793" w:right="851"/>
        <w:contextualSpacing/>
        <w:jc w:val="both"/>
        <w:rPr>
          <w:rFonts w:ascii="David" w:eastAsia="Calibri" w:hAnsi="David"/>
          <w:noProof w:val="0"/>
          <w:rtl/>
        </w:rPr>
      </w:pPr>
      <w:r w:rsidRPr="00E34603">
        <w:rPr>
          <w:rFonts w:ascii="David" w:eastAsia="Calibri" w:hAnsi="David"/>
          <w:noProof w:val="0"/>
          <w:rtl/>
        </w:rPr>
        <w:t>5.למקרה שחו"ח בן הזוג היורש לא יהיה בחיים בעת פטירת אחד מאיתנו, בנותינו ובננו יתחלקו כמפורט להלן:</w:t>
      </w:r>
    </w:p>
    <w:p w:rsidR="00E34603" w:rsidRPr="00E34603" w:rsidRDefault="00E34603" w:rsidP="00E34603">
      <w:pPr>
        <w:spacing w:line="360" w:lineRule="auto"/>
        <w:ind w:left="1360" w:right="851" w:hanging="567"/>
        <w:contextualSpacing/>
        <w:jc w:val="both"/>
        <w:rPr>
          <w:rFonts w:ascii="David" w:eastAsia="Calibri" w:hAnsi="David"/>
          <w:noProof w:val="0"/>
          <w:rtl/>
        </w:rPr>
      </w:pPr>
      <w:r w:rsidRPr="00E34603">
        <w:rPr>
          <w:rFonts w:ascii="David" w:eastAsia="Calibri" w:hAnsi="David"/>
          <w:noProof w:val="0"/>
          <w:rtl/>
        </w:rPr>
        <w:t>-</w:t>
      </w:r>
      <w:r w:rsidRPr="00E34603">
        <w:rPr>
          <w:rFonts w:ascii="David" w:eastAsia="Calibri" w:hAnsi="David"/>
          <w:noProof w:val="0"/>
          <w:rtl/>
        </w:rPr>
        <w:tab/>
        <w:t>חסכונות שיצטברו בבנק לאומי....יתחלקו בין בננו ובנותינו בחלקים שווים ביניהם.</w:t>
      </w:r>
    </w:p>
    <w:p w:rsidR="00E34603" w:rsidRPr="00E34603" w:rsidRDefault="00E34603" w:rsidP="00A02768">
      <w:pPr>
        <w:spacing w:line="360" w:lineRule="auto"/>
        <w:ind w:left="1360" w:right="851" w:hanging="567"/>
        <w:contextualSpacing/>
        <w:jc w:val="both"/>
        <w:rPr>
          <w:rFonts w:ascii="David" w:eastAsia="Calibri" w:hAnsi="David"/>
          <w:noProof w:val="0"/>
          <w:rtl/>
        </w:rPr>
      </w:pPr>
      <w:r w:rsidRPr="00E34603">
        <w:rPr>
          <w:rFonts w:ascii="David" w:eastAsia="Calibri" w:hAnsi="David"/>
          <w:noProof w:val="0"/>
          <w:rtl/>
        </w:rPr>
        <w:t>-</w:t>
      </w:r>
      <w:r w:rsidRPr="00E34603">
        <w:rPr>
          <w:rFonts w:ascii="David" w:eastAsia="Calibri" w:hAnsi="David"/>
          <w:noProof w:val="0"/>
          <w:rtl/>
        </w:rPr>
        <w:tab/>
        <w:t xml:space="preserve">הדירה הנמצאת בקומת הקרקע בבית הנמצא ברחוב </w:t>
      </w:r>
      <w:r w:rsidR="00A13102">
        <w:rPr>
          <w:rFonts w:ascii="David" w:eastAsia="Calibri" w:hAnsi="David" w:hint="cs"/>
          <w:noProof w:val="0"/>
          <w:rtl/>
        </w:rPr>
        <w:t>...</w:t>
      </w:r>
      <w:r w:rsidRPr="00E34603">
        <w:rPr>
          <w:rFonts w:ascii="David" w:eastAsia="Calibri" w:hAnsi="David"/>
          <w:noProof w:val="0"/>
          <w:rtl/>
        </w:rPr>
        <w:t xml:space="preserve"> </w:t>
      </w:r>
      <w:r w:rsidR="00A02768">
        <w:rPr>
          <w:rFonts w:ascii="David" w:eastAsia="Calibri" w:hAnsi="David" w:hint="cs"/>
          <w:noProof w:val="0"/>
          <w:rtl/>
        </w:rPr>
        <w:t>ב</w:t>
      </w:r>
      <w:r w:rsidR="00A02768">
        <w:rPr>
          <w:rFonts w:ascii="David" w:eastAsia="Calibri" w:hAnsi="David"/>
          <w:noProof w:val="0"/>
        </w:rPr>
        <w:t>X -</w:t>
      </w:r>
      <w:r w:rsidRPr="00E34603">
        <w:rPr>
          <w:rFonts w:ascii="David" w:eastAsia="Calibri" w:hAnsi="David"/>
          <w:noProof w:val="0"/>
          <w:rtl/>
        </w:rPr>
        <w:t xml:space="preserve"> </w:t>
      </w:r>
      <w:r w:rsidR="00A13102">
        <w:rPr>
          <w:rFonts w:ascii="David" w:eastAsia="Calibri" w:hAnsi="David" w:hint="cs"/>
          <w:noProof w:val="0"/>
          <w:rtl/>
        </w:rPr>
        <w:t>....</w:t>
      </w:r>
      <w:r w:rsidRPr="00E34603">
        <w:rPr>
          <w:rFonts w:ascii="David" w:eastAsia="Calibri" w:hAnsi="David"/>
          <w:noProof w:val="0"/>
          <w:rtl/>
        </w:rPr>
        <w:t xml:space="preserve">, וכן המחסן,  הגג שמעל הדירה והמגרש שעליו בנוי הבית, יעברו לטובת בננו </w:t>
      </w:r>
      <w:r w:rsidR="00A13102">
        <w:rPr>
          <w:rFonts w:ascii="David" w:eastAsia="Calibri" w:hAnsi="David" w:hint="cs"/>
          <w:noProof w:val="0"/>
          <w:rtl/>
        </w:rPr>
        <w:t>א.ל.</w:t>
      </w:r>
      <w:r w:rsidRPr="00E34603">
        <w:rPr>
          <w:rFonts w:ascii="David" w:eastAsia="Calibri" w:hAnsi="David"/>
          <w:noProof w:val="0"/>
          <w:rtl/>
        </w:rPr>
        <w:t>...</w:t>
      </w:r>
    </w:p>
    <w:p w:rsidR="00E34603" w:rsidRPr="00E34603" w:rsidRDefault="00E34603" w:rsidP="00035F81">
      <w:pPr>
        <w:spacing w:line="360" w:lineRule="auto"/>
        <w:ind w:left="1360" w:right="851" w:hanging="567"/>
        <w:contextualSpacing/>
        <w:jc w:val="both"/>
        <w:rPr>
          <w:rFonts w:ascii="David" w:eastAsia="Calibri" w:hAnsi="David"/>
          <w:noProof w:val="0"/>
          <w:rtl/>
        </w:rPr>
      </w:pPr>
      <w:r w:rsidRPr="00E34603">
        <w:rPr>
          <w:rFonts w:ascii="David" w:eastAsia="Calibri" w:hAnsi="David"/>
          <w:noProof w:val="0"/>
          <w:rtl/>
        </w:rPr>
        <w:lastRenderedPageBreak/>
        <w:t>-</w:t>
      </w:r>
      <w:r w:rsidRPr="00E34603">
        <w:rPr>
          <w:rFonts w:ascii="David" w:eastAsia="Calibri" w:hAnsi="David"/>
          <w:noProof w:val="0"/>
          <w:rtl/>
        </w:rPr>
        <w:tab/>
        <w:t xml:space="preserve">הדירה הנמצאת בקומה הראשונה של הבית ברחוב </w:t>
      </w:r>
      <w:r w:rsidR="00A13102">
        <w:rPr>
          <w:rFonts w:ascii="David" w:eastAsia="Calibri" w:hAnsi="David" w:hint="cs"/>
          <w:noProof w:val="0"/>
          <w:rtl/>
        </w:rPr>
        <w:t>....</w:t>
      </w:r>
      <w:r w:rsidRPr="00E34603">
        <w:rPr>
          <w:rFonts w:ascii="David" w:eastAsia="Calibri" w:hAnsi="David"/>
          <w:noProof w:val="0"/>
          <w:rtl/>
        </w:rPr>
        <w:t xml:space="preserve"> כאמור, כמו גם הדירה הנמצאת רחוב </w:t>
      </w:r>
      <w:r w:rsidR="00A13102">
        <w:rPr>
          <w:rFonts w:ascii="David" w:eastAsia="Calibri" w:hAnsi="David" w:hint="cs"/>
          <w:noProof w:val="0"/>
          <w:rtl/>
        </w:rPr>
        <w:t>....</w:t>
      </w:r>
      <w:r w:rsidRPr="00E34603">
        <w:rPr>
          <w:rFonts w:ascii="David" w:eastAsia="Calibri" w:hAnsi="David"/>
          <w:noProof w:val="0"/>
          <w:rtl/>
        </w:rPr>
        <w:t xml:space="preserve"> בשכונת </w:t>
      </w:r>
      <w:r w:rsidR="00A13102">
        <w:rPr>
          <w:rFonts w:ascii="David" w:eastAsia="Calibri" w:hAnsi="David" w:hint="cs"/>
          <w:noProof w:val="0"/>
          <w:rtl/>
        </w:rPr>
        <w:t>....</w:t>
      </w:r>
      <w:r w:rsidRPr="00E34603">
        <w:rPr>
          <w:rFonts w:ascii="David" w:eastAsia="Calibri" w:hAnsi="David"/>
          <w:noProof w:val="0"/>
          <w:rtl/>
        </w:rPr>
        <w:t xml:space="preserve"> </w:t>
      </w:r>
      <w:r w:rsidR="00035F81">
        <w:rPr>
          <w:rFonts w:ascii="David" w:eastAsia="Calibri" w:hAnsi="David" w:hint="cs"/>
          <w:noProof w:val="0"/>
          <w:rtl/>
        </w:rPr>
        <w:t xml:space="preserve">ב- </w:t>
      </w:r>
      <w:r w:rsidR="00035F81">
        <w:rPr>
          <w:rFonts w:ascii="David" w:eastAsia="Calibri" w:hAnsi="David" w:hint="cs"/>
          <w:noProof w:val="0"/>
        </w:rPr>
        <w:t>Y</w:t>
      </w:r>
      <w:r w:rsidRPr="00E34603">
        <w:rPr>
          <w:rFonts w:ascii="David" w:eastAsia="Calibri" w:hAnsi="David"/>
          <w:noProof w:val="0"/>
          <w:rtl/>
        </w:rPr>
        <w:t>, תימכרנה ותמורתן תחולק שווה בשווה בין כל יורשינו החוקיים.</w:t>
      </w:r>
    </w:p>
    <w:p w:rsidR="00E34603" w:rsidRPr="00E34603" w:rsidRDefault="00E34603" w:rsidP="00E34603">
      <w:pPr>
        <w:spacing w:line="360" w:lineRule="auto"/>
        <w:ind w:left="1360" w:right="851" w:hanging="567"/>
        <w:contextualSpacing/>
        <w:jc w:val="both"/>
        <w:rPr>
          <w:rFonts w:ascii="David" w:eastAsia="Calibri" w:hAnsi="David"/>
          <w:noProof w:val="0"/>
          <w:rtl/>
        </w:rPr>
      </w:pPr>
      <w:r w:rsidRPr="00E34603">
        <w:rPr>
          <w:rFonts w:ascii="David" w:eastAsia="Calibri" w:hAnsi="David"/>
          <w:noProof w:val="0"/>
          <w:rtl/>
        </w:rPr>
        <w:t>-</w:t>
      </w:r>
      <w:r w:rsidRPr="00E34603">
        <w:rPr>
          <w:rFonts w:ascii="David" w:eastAsia="Calibri" w:hAnsi="David"/>
          <w:noProof w:val="0"/>
          <w:rtl/>
        </w:rPr>
        <w:tab/>
        <w:t>תכשיטים שיהיו קיימים אף הם יימכרו ותמורתן תחולק שווה בשווה בין בנותנו ובננו. בטרם יימכרו התכשיטים יש לקבל שמאות.</w:t>
      </w:r>
    </w:p>
    <w:p w:rsidR="00E34603" w:rsidRPr="00E34603" w:rsidRDefault="00E34603" w:rsidP="00F272CD">
      <w:pPr>
        <w:spacing w:line="360" w:lineRule="auto"/>
        <w:ind w:left="1360" w:right="851" w:hanging="567"/>
        <w:contextualSpacing/>
        <w:jc w:val="both"/>
        <w:rPr>
          <w:rFonts w:ascii="David" w:eastAsia="Calibri" w:hAnsi="David"/>
          <w:noProof w:val="0"/>
          <w:rtl/>
        </w:rPr>
      </w:pPr>
      <w:r w:rsidRPr="00E34603">
        <w:rPr>
          <w:rFonts w:ascii="David" w:eastAsia="Calibri" w:hAnsi="David"/>
          <w:noProof w:val="0"/>
          <w:rtl/>
        </w:rPr>
        <w:t>-</w:t>
      </w:r>
      <w:r w:rsidRPr="00E34603">
        <w:rPr>
          <w:rFonts w:ascii="David" w:eastAsia="Calibri" w:hAnsi="David"/>
          <w:noProof w:val="0"/>
          <w:rtl/>
        </w:rPr>
        <w:tab/>
        <w:t xml:space="preserve">ספר התורה אשר נרכש על ידי </w:t>
      </w:r>
      <w:r w:rsidR="00F272CD">
        <w:rPr>
          <w:rFonts w:ascii="David" w:eastAsia="Calibri" w:hAnsi="David" w:hint="cs"/>
          <w:noProof w:val="0"/>
          <w:rtl/>
        </w:rPr>
        <w:t>(המנוח)</w:t>
      </w:r>
      <w:r w:rsidRPr="00E34603">
        <w:rPr>
          <w:rFonts w:ascii="David" w:eastAsia="Calibri" w:hAnsi="David"/>
          <w:noProof w:val="0"/>
          <w:rtl/>
        </w:rPr>
        <w:t xml:space="preserve"> יועבר לבני מר </w:t>
      </w:r>
      <w:r w:rsidR="00F272CD">
        <w:rPr>
          <w:rFonts w:ascii="David" w:eastAsia="Calibri" w:hAnsi="David" w:hint="cs"/>
          <w:noProof w:val="0"/>
          <w:rtl/>
        </w:rPr>
        <w:t>א.ל.</w:t>
      </w:r>
      <w:r w:rsidRPr="00E34603">
        <w:rPr>
          <w:rFonts w:ascii="David" w:eastAsia="Calibri" w:hAnsi="David"/>
          <w:noProof w:val="0"/>
          <w:rtl/>
        </w:rPr>
        <w:t>...</w:t>
      </w:r>
    </w:p>
    <w:p w:rsidR="00E34603" w:rsidRPr="00E34603" w:rsidRDefault="00E34603" w:rsidP="00F272CD">
      <w:pPr>
        <w:spacing w:line="360" w:lineRule="auto"/>
        <w:ind w:left="793" w:right="851"/>
        <w:jc w:val="both"/>
        <w:rPr>
          <w:rFonts w:ascii="David" w:eastAsia="Calibri" w:hAnsi="David"/>
          <w:b/>
          <w:bCs/>
          <w:noProof w:val="0"/>
          <w:rtl/>
        </w:rPr>
      </w:pPr>
      <w:r w:rsidRPr="00E34603">
        <w:rPr>
          <w:rFonts w:ascii="David" w:eastAsia="Calibri" w:hAnsi="David"/>
          <w:b/>
          <w:bCs/>
          <w:noProof w:val="0"/>
          <w:rtl/>
        </w:rPr>
        <w:t xml:space="preserve">למרות האמור לעיל, חלקה של בתנו </w:t>
      </w:r>
      <w:r w:rsidR="00F272CD">
        <w:rPr>
          <w:rFonts w:ascii="David" w:eastAsia="Calibri" w:hAnsi="David" w:hint="cs"/>
          <w:b/>
          <w:bCs/>
          <w:noProof w:val="0"/>
          <w:rtl/>
        </w:rPr>
        <w:t>מ.י.</w:t>
      </w:r>
      <w:r w:rsidRPr="00E34603">
        <w:rPr>
          <w:rFonts w:ascii="David" w:eastAsia="Calibri" w:hAnsi="David"/>
          <w:b/>
          <w:bCs/>
          <w:noProof w:val="0"/>
          <w:rtl/>
        </w:rPr>
        <w:t xml:space="preserve"> בירושה לא יועבר לידיה אלא לידי אחיה </w:t>
      </w:r>
      <w:r w:rsidR="00F272CD">
        <w:rPr>
          <w:rFonts w:ascii="David" w:eastAsia="Calibri" w:hAnsi="David" w:hint="cs"/>
          <w:b/>
          <w:bCs/>
          <w:noProof w:val="0"/>
          <w:rtl/>
        </w:rPr>
        <w:t>א.ל.</w:t>
      </w:r>
      <w:r w:rsidRPr="00E34603">
        <w:rPr>
          <w:rFonts w:ascii="David" w:eastAsia="Calibri" w:hAnsi="David"/>
          <w:b/>
          <w:bCs/>
          <w:noProof w:val="0"/>
          <w:rtl/>
        </w:rPr>
        <w:t xml:space="preserve">, אשר יהיה נאמן לטובתה על הכספים ויהיה לו שיקול דעת בלעדי בלדאוג לצרכיה מתוך חלקה בירושה. </w:t>
      </w:r>
      <w:r w:rsidRPr="00E34603">
        <w:rPr>
          <w:rFonts w:ascii="David" w:eastAsia="Calibri" w:hAnsi="David"/>
          <w:noProof w:val="0"/>
          <w:rtl/>
        </w:rPr>
        <w:t>(ההדגשה במקור – ה.ג.).</w:t>
      </w:r>
    </w:p>
    <w:p w:rsidR="00E34603" w:rsidRPr="00E34603" w:rsidRDefault="00E34603" w:rsidP="00035F81">
      <w:pPr>
        <w:spacing w:line="360" w:lineRule="auto"/>
        <w:ind w:left="793" w:right="851"/>
        <w:jc w:val="both"/>
        <w:rPr>
          <w:rFonts w:ascii="David" w:eastAsia="Calibri" w:hAnsi="David"/>
          <w:noProof w:val="0"/>
          <w:rtl/>
        </w:rPr>
      </w:pPr>
      <w:r w:rsidRPr="00E34603">
        <w:rPr>
          <w:rFonts w:ascii="David" w:eastAsia="Calibri" w:hAnsi="David"/>
          <w:noProof w:val="0"/>
          <w:rtl/>
        </w:rPr>
        <w:t xml:space="preserve">6. הננו מצווים כי עיזבוננו יוקנה ויועבר  לפי הדין הנוהג במדינת ישראל על שם הנהנים עפ"י צוואתנו.....לצורך ביצוע צוואה זו הננו ממנים את </w:t>
      </w:r>
      <w:r w:rsidRPr="00035F81">
        <w:rPr>
          <w:rFonts w:ascii="David" w:eastAsia="Calibri" w:hAnsi="David"/>
          <w:noProof w:val="0"/>
          <w:rtl/>
        </w:rPr>
        <w:t>עו"ד ג'ובראן ג'ובראן כמנהל עזבון</w:t>
      </w:r>
      <w:r w:rsidRPr="00E34603">
        <w:rPr>
          <w:rFonts w:ascii="David" w:eastAsia="Calibri" w:hAnsi="David"/>
          <w:noProof w:val="0"/>
          <w:rtl/>
        </w:rPr>
        <w:t xml:space="preserve"> והוא יהיה אחראי על ביצועה. ..... לגבי דירת המגורים </w:t>
      </w:r>
      <w:r w:rsidR="00035F81">
        <w:rPr>
          <w:rFonts w:ascii="David" w:eastAsia="Calibri" w:hAnsi="David" w:hint="cs"/>
          <w:noProof w:val="0"/>
          <w:rtl/>
        </w:rPr>
        <w:t>ב-</w:t>
      </w:r>
      <w:r w:rsidR="00035F81">
        <w:rPr>
          <w:rFonts w:ascii="David" w:eastAsia="Calibri" w:hAnsi="David" w:hint="cs"/>
          <w:noProof w:val="0"/>
        </w:rPr>
        <w:t>Y</w:t>
      </w:r>
      <w:r w:rsidRPr="00E34603">
        <w:rPr>
          <w:rFonts w:ascii="David" w:eastAsia="Calibri" w:hAnsi="David"/>
          <w:noProof w:val="0"/>
          <w:rtl/>
        </w:rPr>
        <w:t>, מנהל העזבון יוכל למכור אותה רק לאחר חלוף שנה מפטירת בן הזוג הנותר, ובמשך שנה זו, יסדירו היורשים ביניהם כיצד ומתי לבקר בדירה ולשהות בה.</w:t>
      </w:r>
    </w:p>
    <w:p w:rsidR="00E34603" w:rsidRPr="00E34603" w:rsidRDefault="00E34603" w:rsidP="00E34603">
      <w:pPr>
        <w:spacing w:line="360" w:lineRule="auto"/>
        <w:ind w:left="793" w:right="851"/>
        <w:jc w:val="both"/>
        <w:rPr>
          <w:rFonts w:ascii="David" w:eastAsia="Calibri" w:hAnsi="David"/>
          <w:noProof w:val="0"/>
          <w:rtl/>
        </w:rPr>
      </w:pPr>
      <w:r w:rsidRPr="00E34603">
        <w:rPr>
          <w:rFonts w:ascii="David" w:eastAsia="Calibri" w:hAnsi="David"/>
          <w:noProof w:val="0"/>
          <w:rtl/>
        </w:rPr>
        <w:t>.....</w:t>
      </w:r>
    </w:p>
    <w:p w:rsidR="00E34603" w:rsidRPr="00E34603" w:rsidRDefault="00E34603" w:rsidP="00F001D7">
      <w:pPr>
        <w:spacing w:line="360" w:lineRule="auto"/>
        <w:ind w:left="793" w:right="851"/>
        <w:jc w:val="both"/>
        <w:rPr>
          <w:rFonts w:ascii="David" w:eastAsia="Calibri" w:hAnsi="David"/>
          <w:noProof w:val="0"/>
          <w:rtl/>
        </w:rPr>
      </w:pPr>
      <w:r w:rsidRPr="00F001D7">
        <w:rPr>
          <w:rFonts w:ascii="David" w:eastAsia="Calibri" w:hAnsi="David"/>
          <w:noProof w:val="0"/>
          <w:rtl/>
        </w:rPr>
        <w:t>11</w:t>
      </w:r>
      <w:r w:rsidRPr="00E34603">
        <w:rPr>
          <w:rFonts w:ascii="David" w:eastAsia="Calibri" w:hAnsi="David"/>
          <w:b/>
          <w:bCs/>
          <w:noProof w:val="0"/>
          <w:rtl/>
        </w:rPr>
        <w:t xml:space="preserve">. </w:t>
      </w:r>
      <w:r w:rsidRPr="00F001D7">
        <w:rPr>
          <w:rFonts w:ascii="David" w:eastAsia="Calibri" w:hAnsi="David"/>
          <w:noProof w:val="0"/>
          <w:rtl/>
        </w:rPr>
        <w:t>הננו שומרים לעצמנו את הזכות לשנות או לבטל את צוואתנו זו כולה או מקצתה בכל עת שנרצה ואולם כל עוד לא נשננה ו/או נבטלה – תעמוד צוואה זו בתוקפה."</w:t>
      </w:r>
      <w:r w:rsidRPr="00E34603">
        <w:rPr>
          <w:rFonts w:ascii="David" w:eastAsia="Calibri" w:hAnsi="David"/>
          <w:noProof w:val="0"/>
          <w:rtl/>
        </w:rPr>
        <w:t xml:space="preserve"> </w:t>
      </w:r>
    </w:p>
    <w:p w:rsidR="00E34603" w:rsidRPr="00E34603" w:rsidRDefault="00E34603" w:rsidP="00E34603">
      <w:pPr>
        <w:spacing w:line="360" w:lineRule="auto"/>
        <w:ind w:left="368"/>
        <w:contextualSpacing/>
        <w:jc w:val="both"/>
        <w:rPr>
          <w:rFonts w:ascii="David" w:eastAsia="Calibri" w:hAnsi="David"/>
          <w:noProof w:val="0"/>
          <w:rtl/>
        </w:rPr>
      </w:pPr>
    </w:p>
    <w:p w:rsidR="009B504D" w:rsidRPr="009B504D" w:rsidRDefault="00FF5974" w:rsidP="00C609C5">
      <w:pPr>
        <w:numPr>
          <w:ilvl w:val="0"/>
          <w:numId w:val="4"/>
        </w:numPr>
        <w:spacing w:after="160" w:line="360" w:lineRule="auto"/>
        <w:ind w:left="368" w:hanging="425"/>
        <w:contextualSpacing/>
        <w:jc w:val="both"/>
        <w:rPr>
          <w:rFonts w:ascii="David" w:eastAsia="Calibri" w:hAnsi="David"/>
          <w:noProof w:val="0"/>
        </w:rPr>
      </w:pPr>
      <w:r>
        <w:rPr>
          <w:rFonts w:ascii="David" w:eastAsia="Calibri" w:hAnsi="David" w:hint="cs"/>
          <w:noProof w:val="0"/>
          <w:rtl/>
        </w:rPr>
        <w:t>יצויין כבר עתה כי</w:t>
      </w:r>
      <w:r w:rsidR="009B504D" w:rsidRPr="009B504D">
        <w:rPr>
          <w:rFonts w:ascii="David" w:eastAsia="Calibri" w:hAnsi="David" w:hint="cs"/>
          <w:noProof w:val="0"/>
          <w:rtl/>
        </w:rPr>
        <w:t xml:space="preserve"> הצוואה ההדדית נערכה </w:t>
      </w:r>
      <w:r w:rsidR="001A7290">
        <w:rPr>
          <w:rFonts w:ascii="David" w:eastAsia="Calibri" w:hAnsi="David" w:hint="cs"/>
          <w:noProof w:val="0"/>
          <w:rtl/>
        </w:rPr>
        <w:t xml:space="preserve">כאמור ביום </w:t>
      </w:r>
      <w:r w:rsidR="001A7290" w:rsidRPr="00E34603">
        <w:rPr>
          <w:rFonts w:ascii="David" w:eastAsia="Calibri" w:hAnsi="David"/>
          <w:noProof w:val="0"/>
          <w:rtl/>
        </w:rPr>
        <w:t>27.4.2005</w:t>
      </w:r>
      <w:r w:rsidR="001A7290">
        <w:rPr>
          <w:rFonts w:ascii="David" w:eastAsia="Calibri" w:hAnsi="David" w:hint="cs"/>
          <w:noProof w:val="0"/>
          <w:rtl/>
        </w:rPr>
        <w:t xml:space="preserve">, </w:t>
      </w:r>
      <w:r w:rsidR="009B504D" w:rsidRPr="009B504D">
        <w:rPr>
          <w:rFonts w:ascii="David" w:eastAsia="Calibri" w:hAnsi="David" w:hint="cs"/>
          <w:noProof w:val="0"/>
          <w:rtl/>
        </w:rPr>
        <w:t xml:space="preserve">טרם כניסתו לתוקף של תיקון מס' 12 </w:t>
      </w:r>
      <w:r w:rsidR="009B504D" w:rsidRPr="00C609C5">
        <w:rPr>
          <w:rFonts w:ascii="David" w:eastAsia="Calibri" w:hAnsi="David"/>
          <w:noProof w:val="0"/>
          <w:rtl/>
        </w:rPr>
        <w:t>לחוק הירושה,</w:t>
      </w:r>
      <w:r w:rsidR="009B504D" w:rsidRPr="009B504D">
        <w:rPr>
          <w:rFonts w:ascii="David" w:eastAsia="Calibri" w:hAnsi="David"/>
          <w:noProof w:val="0"/>
          <w:rtl/>
        </w:rPr>
        <w:t xml:space="preserve"> תשכ"ה-1965 (להלן- "</w:t>
      </w:r>
      <w:r w:rsidR="00C609C5">
        <w:rPr>
          <w:rFonts w:ascii="David" w:eastAsia="Calibri" w:hAnsi="David" w:hint="cs"/>
          <w:b/>
          <w:bCs/>
          <w:noProof w:val="0"/>
          <w:rtl/>
        </w:rPr>
        <w:t>התיקון ל</w:t>
      </w:r>
      <w:r w:rsidR="00C609C5">
        <w:rPr>
          <w:rFonts w:ascii="David" w:eastAsia="Calibri" w:hAnsi="David"/>
          <w:b/>
          <w:bCs/>
          <w:noProof w:val="0"/>
          <w:rtl/>
        </w:rPr>
        <w:t>חוק</w:t>
      </w:r>
      <w:r w:rsidR="009B504D" w:rsidRPr="009B504D">
        <w:rPr>
          <w:rFonts w:ascii="David" w:eastAsia="Calibri" w:hAnsi="David"/>
          <w:noProof w:val="0"/>
          <w:rtl/>
        </w:rPr>
        <w:t>"),</w:t>
      </w:r>
      <w:r w:rsidR="009B504D" w:rsidRPr="009B504D">
        <w:rPr>
          <w:rFonts w:ascii="David" w:eastAsia="Calibri" w:hAnsi="David" w:hint="cs"/>
          <w:noProof w:val="0"/>
          <w:rtl/>
        </w:rPr>
        <w:t xml:space="preserve"> אשר נכנס לתוקף רק ביום </w:t>
      </w:r>
      <w:r w:rsidR="009B504D" w:rsidRPr="009B504D">
        <w:rPr>
          <w:rFonts w:ascii="David" w:eastAsia="Calibri" w:hAnsi="David"/>
          <w:noProof w:val="0"/>
          <w:rtl/>
        </w:rPr>
        <w:t>1.8.2005</w:t>
      </w:r>
      <w:r w:rsidR="009B504D" w:rsidRPr="009B504D">
        <w:rPr>
          <w:rFonts w:ascii="David" w:eastAsia="Calibri" w:hAnsi="David" w:hint="cs"/>
          <w:noProof w:val="0"/>
          <w:rtl/>
        </w:rPr>
        <w:t>.</w:t>
      </w:r>
    </w:p>
    <w:p w:rsidR="009B504D" w:rsidRPr="00D54B5B" w:rsidRDefault="009B504D" w:rsidP="009B504D">
      <w:pPr>
        <w:spacing w:after="160" w:line="360" w:lineRule="auto"/>
        <w:ind w:left="368"/>
        <w:contextualSpacing/>
        <w:jc w:val="both"/>
        <w:rPr>
          <w:rFonts w:ascii="David" w:eastAsia="Calibri" w:hAnsi="David"/>
          <w:noProof w:val="0"/>
          <w:highlight w:val="yellow"/>
          <w:rtl/>
        </w:rPr>
      </w:pPr>
    </w:p>
    <w:p w:rsidR="00E34603" w:rsidRPr="00E34603" w:rsidRDefault="00E34603" w:rsidP="00C609C5">
      <w:pPr>
        <w:numPr>
          <w:ilvl w:val="0"/>
          <w:numId w:val="4"/>
        </w:numPr>
        <w:spacing w:after="160" w:line="360" w:lineRule="auto"/>
        <w:ind w:left="368" w:hanging="425"/>
        <w:contextualSpacing/>
        <w:jc w:val="both"/>
        <w:rPr>
          <w:rFonts w:ascii="David" w:eastAsia="Calibri" w:hAnsi="David"/>
          <w:noProof w:val="0"/>
        </w:rPr>
      </w:pPr>
      <w:r w:rsidRPr="00E34603">
        <w:rPr>
          <w:rFonts w:ascii="David" w:eastAsia="Calibri" w:hAnsi="David"/>
          <w:noProof w:val="0"/>
          <w:rtl/>
        </w:rPr>
        <w:t>המנוח ה</w:t>
      </w:r>
      <w:r w:rsidR="00761853">
        <w:rPr>
          <w:rFonts w:ascii="David" w:eastAsia="Calibri" w:hAnsi="David"/>
          <w:noProof w:val="0"/>
          <w:rtl/>
        </w:rPr>
        <w:t>לך לבית עולמו ביום 13.12.2010</w:t>
      </w:r>
      <w:r w:rsidR="00761853">
        <w:rPr>
          <w:rFonts w:ascii="David" w:eastAsia="Calibri" w:hAnsi="David" w:hint="cs"/>
          <w:noProof w:val="0"/>
          <w:rtl/>
        </w:rPr>
        <w:t xml:space="preserve">. </w:t>
      </w:r>
      <w:r w:rsidRPr="00E34603">
        <w:rPr>
          <w:rFonts w:ascii="David" w:eastAsia="Calibri" w:hAnsi="David"/>
          <w:noProof w:val="0"/>
          <w:rtl/>
        </w:rPr>
        <w:t xml:space="preserve">כשנתיים לאחר פטירתו, עתרה המנוחה בת"ע 2226-04-13, בבקשה לקיום </w:t>
      </w:r>
      <w:r w:rsidR="00C609C5">
        <w:rPr>
          <w:rFonts w:ascii="David" w:eastAsia="Calibri" w:hAnsi="David" w:hint="cs"/>
          <w:noProof w:val="0"/>
          <w:rtl/>
        </w:rPr>
        <w:t>ה</w:t>
      </w:r>
      <w:r w:rsidRPr="00E34603">
        <w:rPr>
          <w:rFonts w:ascii="David" w:eastAsia="Calibri" w:hAnsi="David"/>
          <w:noProof w:val="0"/>
          <w:rtl/>
        </w:rPr>
        <w:t>צווא</w:t>
      </w:r>
      <w:r w:rsidR="00C609C5">
        <w:rPr>
          <w:rFonts w:ascii="David" w:eastAsia="Calibri" w:hAnsi="David" w:hint="cs"/>
          <w:noProof w:val="0"/>
          <w:rtl/>
        </w:rPr>
        <w:t>ה</w:t>
      </w:r>
      <w:r w:rsidRPr="00E34603">
        <w:rPr>
          <w:rFonts w:ascii="David" w:eastAsia="Calibri" w:hAnsi="David"/>
          <w:noProof w:val="0"/>
          <w:rtl/>
        </w:rPr>
        <w:t xml:space="preserve"> משנת 2005, </w:t>
      </w:r>
      <w:r w:rsidRPr="00E34603">
        <w:rPr>
          <w:rFonts w:ascii="David" w:eastAsia="Calibri" w:hAnsi="David"/>
          <w:b/>
          <w:bCs/>
          <w:noProof w:val="0"/>
          <w:rtl/>
        </w:rPr>
        <w:t xml:space="preserve">וביום 28.7.2014 ניתן צו לקיומה. </w:t>
      </w:r>
    </w:p>
    <w:p w:rsidR="00E34603" w:rsidRPr="00E34603" w:rsidRDefault="00E34603" w:rsidP="00E34603">
      <w:pPr>
        <w:spacing w:after="160" w:line="256" w:lineRule="auto"/>
        <w:ind w:left="368" w:hanging="425"/>
        <w:contextualSpacing/>
        <w:jc w:val="both"/>
        <w:rPr>
          <w:rFonts w:ascii="David" w:eastAsia="Calibri" w:hAnsi="David"/>
          <w:noProof w:val="0"/>
        </w:rPr>
      </w:pPr>
    </w:p>
    <w:p w:rsidR="00E34603" w:rsidRPr="00E34603" w:rsidRDefault="00E34603" w:rsidP="00E34603">
      <w:pPr>
        <w:numPr>
          <w:ilvl w:val="0"/>
          <w:numId w:val="4"/>
        </w:numPr>
        <w:spacing w:after="160" w:line="360" w:lineRule="auto"/>
        <w:ind w:left="368" w:hanging="425"/>
        <w:contextualSpacing/>
        <w:jc w:val="both"/>
        <w:rPr>
          <w:rFonts w:ascii="David" w:eastAsia="Calibri" w:hAnsi="David"/>
          <w:noProof w:val="0"/>
          <w:rtl/>
        </w:rPr>
      </w:pPr>
      <w:r w:rsidRPr="00E34603">
        <w:rPr>
          <w:rFonts w:ascii="David" w:eastAsia="Calibri" w:hAnsi="David"/>
          <w:noProof w:val="0"/>
          <w:rtl/>
        </w:rPr>
        <w:t xml:space="preserve">בחלוף כחצי שנה, ערכה המנוחה </w:t>
      </w:r>
      <w:r w:rsidRPr="00E34603">
        <w:rPr>
          <w:rFonts w:ascii="David" w:eastAsia="Calibri" w:hAnsi="David"/>
          <w:b/>
          <w:bCs/>
          <w:noProof w:val="0"/>
          <w:rtl/>
        </w:rPr>
        <w:t>צוואה חדשה</w:t>
      </w:r>
      <w:r w:rsidRPr="00E34603">
        <w:rPr>
          <w:rFonts w:ascii="David" w:eastAsia="Calibri" w:hAnsi="David"/>
          <w:noProof w:val="0"/>
          <w:rtl/>
        </w:rPr>
        <w:t xml:space="preserve"> </w:t>
      </w:r>
      <w:r w:rsidRPr="00E34603">
        <w:rPr>
          <w:rFonts w:ascii="David" w:eastAsia="Calibri" w:hAnsi="David"/>
          <w:b/>
          <w:bCs/>
          <w:noProof w:val="0"/>
          <w:rtl/>
        </w:rPr>
        <w:t>מיום 22.1.2015</w:t>
      </w:r>
      <w:r w:rsidRPr="00E34603">
        <w:rPr>
          <w:rFonts w:ascii="David" w:eastAsia="Calibri" w:hAnsi="David"/>
          <w:noProof w:val="0"/>
          <w:rtl/>
        </w:rPr>
        <w:t>, שנחתמה בפני שני עדים (להלן תיקרא  - "</w:t>
      </w:r>
      <w:r w:rsidRPr="00E34603">
        <w:rPr>
          <w:rFonts w:ascii="David" w:eastAsia="Calibri" w:hAnsi="David"/>
          <w:b/>
          <w:bCs/>
          <w:noProof w:val="0"/>
          <w:rtl/>
        </w:rPr>
        <w:t>הצוואה המאוחרת</w:t>
      </w:r>
      <w:r w:rsidRPr="00E34603">
        <w:rPr>
          <w:rFonts w:ascii="David" w:eastAsia="Calibri" w:hAnsi="David"/>
          <w:noProof w:val="0"/>
          <w:rtl/>
        </w:rPr>
        <w:t>" או "</w:t>
      </w:r>
      <w:r w:rsidRPr="00E34603">
        <w:rPr>
          <w:rFonts w:ascii="David" w:eastAsia="Calibri" w:hAnsi="David"/>
          <w:b/>
          <w:bCs/>
          <w:noProof w:val="0"/>
          <w:rtl/>
        </w:rPr>
        <w:t>צוואת 2015</w:t>
      </w:r>
      <w:r w:rsidRPr="00E34603">
        <w:rPr>
          <w:rFonts w:ascii="David" w:eastAsia="Calibri" w:hAnsi="David"/>
          <w:noProof w:val="0"/>
          <w:rtl/>
        </w:rPr>
        <w:t>").</w:t>
      </w:r>
    </w:p>
    <w:p w:rsidR="00E34603" w:rsidRPr="00E34603" w:rsidRDefault="00E34603" w:rsidP="00E34603">
      <w:pPr>
        <w:spacing w:after="160" w:line="256" w:lineRule="auto"/>
        <w:ind w:left="368" w:hanging="425"/>
        <w:contextualSpacing/>
        <w:jc w:val="both"/>
        <w:rPr>
          <w:rFonts w:ascii="David" w:eastAsia="Calibri" w:hAnsi="David"/>
          <w:noProof w:val="0"/>
        </w:rPr>
      </w:pPr>
    </w:p>
    <w:p w:rsidR="00E34603" w:rsidRDefault="00E34603" w:rsidP="00035F81">
      <w:pPr>
        <w:numPr>
          <w:ilvl w:val="0"/>
          <w:numId w:val="4"/>
        </w:numPr>
        <w:spacing w:after="160" w:line="360" w:lineRule="auto"/>
        <w:ind w:left="368" w:hanging="425"/>
        <w:contextualSpacing/>
        <w:jc w:val="both"/>
        <w:rPr>
          <w:rFonts w:ascii="David" w:eastAsia="Calibri" w:hAnsi="David"/>
          <w:noProof w:val="0"/>
        </w:rPr>
      </w:pPr>
      <w:r w:rsidRPr="00E34603">
        <w:rPr>
          <w:rFonts w:ascii="David" w:eastAsia="Calibri" w:hAnsi="David"/>
          <w:noProof w:val="0"/>
          <w:rtl/>
        </w:rPr>
        <w:t xml:space="preserve">הצוואה המאוחרת </w:t>
      </w:r>
      <w:r w:rsidRPr="00C609C5">
        <w:rPr>
          <w:rFonts w:ascii="David" w:eastAsia="Calibri" w:hAnsi="David"/>
          <w:b/>
          <w:bCs/>
          <w:noProof w:val="0"/>
          <w:rtl/>
        </w:rPr>
        <w:t>משנה</w:t>
      </w:r>
      <w:r w:rsidRPr="00E34603">
        <w:rPr>
          <w:rFonts w:ascii="David" w:eastAsia="Calibri" w:hAnsi="David"/>
          <w:noProof w:val="0"/>
          <w:rtl/>
        </w:rPr>
        <w:t xml:space="preserve"> מהוראות הצוואה ההדדית, כ</w:t>
      </w:r>
      <w:r w:rsidR="00035F81">
        <w:rPr>
          <w:rFonts w:ascii="David" w:eastAsia="Calibri" w:hAnsi="David"/>
          <w:noProof w:val="0"/>
          <w:rtl/>
        </w:rPr>
        <w:t xml:space="preserve">ך שהחסכונות והכספים בבנק לאומי </w:t>
      </w:r>
      <w:r w:rsidR="00035F81">
        <w:rPr>
          <w:rFonts w:ascii="David" w:eastAsia="Calibri" w:hAnsi="David" w:hint="cs"/>
          <w:noProof w:val="0"/>
          <w:rtl/>
        </w:rPr>
        <w:t>(....</w:t>
      </w:r>
      <w:r w:rsidRPr="00E34603">
        <w:rPr>
          <w:rFonts w:ascii="David" w:eastAsia="Calibri" w:hAnsi="David"/>
          <w:noProof w:val="0"/>
          <w:rtl/>
        </w:rPr>
        <w:t xml:space="preserve">) שציוו המנוחים בצוואה ההדדית לכלל ילדיהם בחלקים שווים – יועברו </w:t>
      </w:r>
      <w:r w:rsidRPr="00E34603">
        <w:rPr>
          <w:rFonts w:ascii="David" w:eastAsia="Calibri" w:hAnsi="David"/>
          <w:b/>
          <w:bCs/>
          <w:noProof w:val="0"/>
          <w:rtl/>
        </w:rPr>
        <w:t>במלואם</w:t>
      </w:r>
      <w:r w:rsidR="00A57AC8">
        <w:rPr>
          <w:rFonts w:ascii="David" w:eastAsia="Calibri" w:hAnsi="David"/>
          <w:noProof w:val="0"/>
          <w:rtl/>
        </w:rPr>
        <w:t xml:space="preserve"> לבן </w:t>
      </w:r>
      <w:r w:rsidR="00F272CD">
        <w:rPr>
          <w:rFonts w:ascii="David" w:eastAsia="Calibri" w:hAnsi="David" w:hint="cs"/>
          <w:noProof w:val="0"/>
          <w:rtl/>
        </w:rPr>
        <w:t>א.ל.</w:t>
      </w:r>
      <w:r w:rsidR="00A57AC8">
        <w:rPr>
          <w:rFonts w:ascii="David" w:eastAsia="Calibri" w:hAnsi="David"/>
          <w:noProof w:val="0"/>
          <w:rtl/>
        </w:rPr>
        <w:t xml:space="preserve"> (המשיב)</w:t>
      </w:r>
      <w:r w:rsidR="00A57AC8">
        <w:rPr>
          <w:rFonts w:ascii="David" w:eastAsia="Calibri" w:hAnsi="David" w:hint="cs"/>
          <w:noProof w:val="0"/>
          <w:rtl/>
        </w:rPr>
        <w:t>;</w:t>
      </w:r>
      <w:r w:rsidRPr="00E34603">
        <w:rPr>
          <w:rFonts w:ascii="David" w:eastAsia="Calibri" w:hAnsi="David"/>
          <w:noProof w:val="0"/>
          <w:rtl/>
        </w:rPr>
        <w:t xml:space="preserve"> הכספים והזכויות בבנק </w:t>
      </w:r>
      <w:r w:rsidR="00F272CD">
        <w:rPr>
          <w:rFonts w:ascii="David" w:eastAsia="Calibri" w:hAnsi="David" w:hint="cs"/>
          <w:noProof w:val="0"/>
          <w:rtl/>
        </w:rPr>
        <w:t>לאומי...</w:t>
      </w:r>
      <w:r w:rsidRPr="00E34603">
        <w:rPr>
          <w:rFonts w:ascii="David" w:eastAsia="Calibri" w:hAnsi="David"/>
          <w:noProof w:val="0"/>
          <w:rtl/>
        </w:rPr>
        <w:t xml:space="preserve"> וזכויותיה בבנק הבינלאומי </w:t>
      </w:r>
      <w:r w:rsidR="00F272CD">
        <w:rPr>
          <w:rFonts w:ascii="David" w:eastAsia="Calibri" w:hAnsi="David" w:hint="cs"/>
          <w:noProof w:val="0"/>
          <w:rtl/>
        </w:rPr>
        <w:t>....</w:t>
      </w:r>
      <w:r w:rsidRPr="00E34603">
        <w:rPr>
          <w:rFonts w:ascii="David" w:eastAsia="Calibri" w:hAnsi="David"/>
          <w:noProof w:val="0"/>
          <w:rtl/>
        </w:rPr>
        <w:t xml:space="preserve"> – חשבונות משותפים ע"ש המנוחים שניהם (שכלל לא הוזכרו בצוואת 2005), יועברו לששת ילדיה ולחמשת נכדיה של המנוחה (המפורטים בצוואה המאוחרת) בחלקים שווים. בצוואה המאוחרת לא מוזכרות כלל שתי הדירות ברחוב </w:t>
      </w:r>
      <w:r w:rsidR="00F272CD">
        <w:rPr>
          <w:rFonts w:ascii="David" w:eastAsia="Calibri" w:hAnsi="David" w:hint="cs"/>
          <w:noProof w:val="0"/>
          <w:rtl/>
        </w:rPr>
        <w:t>...</w:t>
      </w:r>
      <w:r w:rsidRPr="00E34603">
        <w:rPr>
          <w:rFonts w:ascii="David" w:eastAsia="Calibri" w:hAnsi="David"/>
          <w:noProof w:val="0"/>
          <w:rtl/>
        </w:rPr>
        <w:t xml:space="preserve"> </w:t>
      </w:r>
      <w:r w:rsidR="00035F81">
        <w:rPr>
          <w:rFonts w:ascii="David" w:eastAsia="Calibri" w:hAnsi="David" w:hint="cs"/>
          <w:noProof w:val="0"/>
          <w:rtl/>
        </w:rPr>
        <w:t>ב-</w:t>
      </w:r>
      <w:r w:rsidR="00035F81">
        <w:rPr>
          <w:rFonts w:ascii="David" w:eastAsia="Calibri" w:hAnsi="David" w:hint="cs"/>
          <w:noProof w:val="0"/>
        </w:rPr>
        <w:t>X</w:t>
      </w:r>
      <w:r w:rsidRPr="00E34603">
        <w:rPr>
          <w:rFonts w:ascii="David" w:eastAsia="Calibri" w:hAnsi="David"/>
          <w:noProof w:val="0"/>
          <w:rtl/>
        </w:rPr>
        <w:t xml:space="preserve">, ואילו באשר לדירה ברחוב </w:t>
      </w:r>
      <w:r w:rsidR="00F272CD">
        <w:rPr>
          <w:rFonts w:ascii="David" w:eastAsia="Calibri" w:hAnsi="David" w:hint="cs"/>
          <w:noProof w:val="0"/>
          <w:rtl/>
        </w:rPr>
        <w:t>....</w:t>
      </w:r>
      <w:r w:rsidRPr="00E34603">
        <w:rPr>
          <w:rFonts w:ascii="David" w:eastAsia="Calibri" w:hAnsi="David"/>
          <w:noProof w:val="0"/>
          <w:rtl/>
        </w:rPr>
        <w:t xml:space="preserve"> </w:t>
      </w:r>
      <w:r w:rsidR="00035F81">
        <w:rPr>
          <w:rFonts w:ascii="David" w:eastAsia="Calibri" w:hAnsi="David" w:hint="cs"/>
          <w:noProof w:val="0"/>
          <w:rtl/>
        </w:rPr>
        <w:t>ב-</w:t>
      </w:r>
      <w:r w:rsidR="00035F81">
        <w:rPr>
          <w:rFonts w:ascii="David" w:eastAsia="Calibri" w:hAnsi="David" w:hint="cs"/>
          <w:noProof w:val="0"/>
        </w:rPr>
        <w:t>Y</w:t>
      </w:r>
      <w:r w:rsidRPr="00E34603">
        <w:rPr>
          <w:rFonts w:ascii="David" w:eastAsia="Calibri" w:hAnsi="David"/>
          <w:noProof w:val="0"/>
          <w:rtl/>
        </w:rPr>
        <w:t>, גם בצוואתה המאוחרת ציוותה המנוחה דירה זו לילדיה ונכדיה בחלקים שווים. כמו כן לא הוזכרו בצוואה המאוחרת התכשיטים שהוזכרו בסעיף 5 לצוואה ההדדית.</w:t>
      </w:r>
    </w:p>
    <w:p w:rsidR="00F001D7" w:rsidRDefault="00F001D7" w:rsidP="00F001D7">
      <w:pPr>
        <w:pStyle w:val="ae"/>
        <w:rPr>
          <w:rFonts w:ascii="David" w:eastAsia="Calibri" w:hAnsi="David"/>
          <w:noProof w:val="0"/>
          <w:rtl/>
        </w:rPr>
      </w:pPr>
    </w:p>
    <w:p w:rsidR="00E34603" w:rsidRPr="00E34603" w:rsidRDefault="00D238FC" w:rsidP="00035F81">
      <w:pPr>
        <w:numPr>
          <w:ilvl w:val="0"/>
          <w:numId w:val="4"/>
        </w:numPr>
        <w:spacing w:after="160" w:line="360" w:lineRule="auto"/>
        <w:ind w:left="368"/>
        <w:contextualSpacing/>
        <w:jc w:val="both"/>
        <w:rPr>
          <w:rFonts w:ascii="David" w:eastAsia="Calibri" w:hAnsi="David"/>
          <w:noProof w:val="0"/>
          <w:rtl/>
        </w:rPr>
      </w:pPr>
      <w:r>
        <w:rPr>
          <w:rFonts w:ascii="David" w:eastAsia="Calibri" w:hAnsi="David" w:hint="cs"/>
          <w:noProof w:val="0"/>
          <w:rtl/>
        </w:rPr>
        <w:t>להשלמת התמונה יצוי</w:t>
      </w:r>
      <w:r w:rsidR="00E660B3">
        <w:rPr>
          <w:rFonts w:ascii="David" w:eastAsia="Calibri" w:hAnsi="David" w:hint="cs"/>
          <w:noProof w:val="0"/>
          <w:rtl/>
        </w:rPr>
        <w:t xml:space="preserve">ן כי </w:t>
      </w:r>
      <w:r w:rsidR="00E34603" w:rsidRPr="00E34603">
        <w:rPr>
          <w:rFonts w:ascii="David" w:eastAsia="Calibri" w:hAnsi="David"/>
          <w:noProof w:val="0"/>
          <w:rtl/>
        </w:rPr>
        <w:t xml:space="preserve">במסגרת ההתנגדויות שהוגשו לצוואה המאוחרת, נטען בין היתר, כי בסמוך לעריכת הצוואה המאוחרת, הועברו הזכויות בשתי הדירות </w:t>
      </w:r>
      <w:r w:rsidR="00035F81">
        <w:rPr>
          <w:rFonts w:ascii="David" w:eastAsia="Calibri" w:hAnsi="David" w:hint="cs"/>
          <w:noProof w:val="0"/>
          <w:rtl/>
        </w:rPr>
        <w:t>ב-</w:t>
      </w:r>
      <w:r w:rsidR="00035F81">
        <w:rPr>
          <w:rFonts w:ascii="David" w:eastAsia="Calibri" w:hAnsi="David" w:hint="cs"/>
          <w:noProof w:val="0"/>
        </w:rPr>
        <w:t>X</w:t>
      </w:r>
      <w:r w:rsidR="00E34603" w:rsidRPr="00E34603">
        <w:rPr>
          <w:rFonts w:ascii="David" w:eastAsia="Calibri" w:hAnsi="David"/>
          <w:noProof w:val="0"/>
          <w:rtl/>
        </w:rPr>
        <w:t xml:space="preserve"> לשני ילדיו של המשיב, ללא תמורה; כמו כן נטען, כי ביום 15.2.18, מכרה המנוחה את הדירה ברח' </w:t>
      </w:r>
      <w:r w:rsidR="00F272CD">
        <w:rPr>
          <w:rFonts w:ascii="David" w:eastAsia="Calibri" w:hAnsi="David" w:hint="cs"/>
          <w:noProof w:val="0"/>
          <w:rtl/>
        </w:rPr>
        <w:t>...</w:t>
      </w:r>
      <w:r w:rsidR="00E34603" w:rsidRPr="00E34603">
        <w:rPr>
          <w:rFonts w:ascii="David" w:eastAsia="Calibri" w:hAnsi="David"/>
          <w:noProof w:val="0"/>
          <w:rtl/>
        </w:rPr>
        <w:t xml:space="preserve"> </w:t>
      </w:r>
      <w:r w:rsidR="00035F81">
        <w:rPr>
          <w:rFonts w:ascii="David" w:eastAsia="Calibri" w:hAnsi="David" w:hint="cs"/>
          <w:noProof w:val="0"/>
          <w:rtl/>
        </w:rPr>
        <w:t>ב-</w:t>
      </w:r>
      <w:r w:rsidR="00035F81">
        <w:rPr>
          <w:rFonts w:ascii="David" w:eastAsia="Calibri" w:hAnsi="David" w:hint="cs"/>
          <w:noProof w:val="0"/>
        </w:rPr>
        <w:t>Y</w:t>
      </w:r>
      <w:r w:rsidR="00E34603" w:rsidRPr="00E34603">
        <w:rPr>
          <w:rFonts w:ascii="David" w:eastAsia="Calibri" w:hAnsi="David"/>
          <w:noProof w:val="0"/>
          <w:rtl/>
        </w:rPr>
        <w:t xml:space="preserve">, לצדדי ג', באמצעות המשיב ואחות נוספת בשם </w:t>
      </w:r>
      <w:r w:rsidR="00F272CD">
        <w:rPr>
          <w:rFonts w:ascii="David" w:eastAsia="Calibri" w:hAnsi="David" w:hint="cs"/>
          <w:noProof w:val="0"/>
          <w:rtl/>
        </w:rPr>
        <w:t>נ'</w:t>
      </w:r>
      <w:r w:rsidR="00E660B3">
        <w:rPr>
          <w:rFonts w:ascii="David" w:eastAsia="Calibri" w:hAnsi="David" w:hint="cs"/>
          <w:noProof w:val="0"/>
          <w:rtl/>
        </w:rPr>
        <w:t xml:space="preserve">; טענות אלו </w:t>
      </w:r>
      <w:r w:rsidR="00E660B3" w:rsidRPr="004A56DC">
        <w:rPr>
          <w:rFonts w:ascii="David" w:eastAsia="Calibri" w:hAnsi="David" w:hint="cs"/>
          <w:b/>
          <w:bCs/>
          <w:noProof w:val="0"/>
          <w:rtl/>
        </w:rPr>
        <w:t>אינן רלוונטיות</w:t>
      </w:r>
      <w:r w:rsidR="00E660B3">
        <w:rPr>
          <w:rFonts w:ascii="David" w:eastAsia="Calibri" w:hAnsi="David" w:hint="cs"/>
          <w:noProof w:val="0"/>
          <w:rtl/>
        </w:rPr>
        <w:t xml:space="preserve"> לשאלה המקדמית שלפני בדבר היכולת לערוך צוואה מבטלת לצוואה ההדדית שערכו המנוחים יחדיו</w:t>
      </w:r>
      <w:r w:rsidR="00E34603" w:rsidRPr="00E34603">
        <w:rPr>
          <w:rFonts w:ascii="David" w:eastAsia="Calibri" w:hAnsi="David"/>
          <w:noProof w:val="0"/>
          <w:rtl/>
        </w:rPr>
        <w:t xml:space="preserve">. </w:t>
      </w:r>
    </w:p>
    <w:p w:rsidR="00E34603" w:rsidRPr="00E34603" w:rsidRDefault="00E34603" w:rsidP="00E34603">
      <w:pPr>
        <w:spacing w:after="160" w:line="256" w:lineRule="auto"/>
        <w:ind w:left="368"/>
        <w:contextualSpacing/>
        <w:rPr>
          <w:rFonts w:ascii="David" w:eastAsia="Calibri" w:hAnsi="David"/>
          <w:noProof w:val="0"/>
          <w:rtl/>
        </w:rPr>
      </w:pPr>
    </w:p>
    <w:p w:rsidR="005767B0" w:rsidRPr="005767B0" w:rsidRDefault="00E34603" w:rsidP="00A57AC8">
      <w:pPr>
        <w:numPr>
          <w:ilvl w:val="0"/>
          <w:numId w:val="4"/>
        </w:numPr>
        <w:spacing w:after="160" w:line="360" w:lineRule="auto"/>
        <w:ind w:left="368"/>
        <w:contextualSpacing/>
        <w:jc w:val="both"/>
        <w:rPr>
          <w:rFonts w:ascii="David" w:eastAsia="Calibri" w:hAnsi="David"/>
          <w:noProof w:val="0"/>
        </w:rPr>
      </w:pPr>
      <w:r w:rsidRPr="005767B0">
        <w:rPr>
          <w:rFonts w:ascii="David" w:eastAsia="Calibri" w:hAnsi="David"/>
          <w:b/>
          <w:bCs/>
          <w:noProof w:val="0"/>
          <w:rtl/>
        </w:rPr>
        <w:t xml:space="preserve">המחלוקת </w:t>
      </w:r>
      <w:r w:rsidR="00E660B3" w:rsidRPr="005767B0">
        <w:rPr>
          <w:rFonts w:ascii="David" w:eastAsia="Calibri" w:hAnsi="David" w:hint="cs"/>
          <w:b/>
          <w:bCs/>
          <w:noProof w:val="0"/>
          <w:rtl/>
        </w:rPr>
        <w:t xml:space="preserve">בהכרעה המקדמית </w:t>
      </w:r>
      <w:r w:rsidRPr="005767B0">
        <w:rPr>
          <w:rFonts w:ascii="David" w:eastAsia="Calibri" w:hAnsi="David"/>
          <w:b/>
          <w:bCs/>
          <w:noProof w:val="0"/>
          <w:rtl/>
        </w:rPr>
        <w:t xml:space="preserve">דנן </w:t>
      </w:r>
      <w:r w:rsidR="005767B0" w:rsidRPr="005767B0">
        <w:rPr>
          <w:rFonts w:ascii="David" w:eastAsia="Calibri" w:hAnsi="David" w:hint="cs"/>
          <w:b/>
          <w:bCs/>
          <w:noProof w:val="0"/>
          <w:rtl/>
        </w:rPr>
        <w:t xml:space="preserve">נסובה אודות </w:t>
      </w:r>
      <w:r w:rsidR="00A3012C" w:rsidRPr="005767B0">
        <w:rPr>
          <w:rFonts w:ascii="David" w:eastAsia="Calibri" w:hAnsi="David" w:hint="cs"/>
          <w:b/>
          <w:bCs/>
          <w:noProof w:val="0"/>
          <w:rtl/>
        </w:rPr>
        <w:t xml:space="preserve">יכולת </w:t>
      </w:r>
      <w:r w:rsidR="005767B0" w:rsidRPr="005767B0">
        <w:rPr>
          <w:rFonts w:ascii="David" w:eastAsia="Calibri" w:hAnsi="David" w:hint="cs"/>
          <w:b/>
          <w:bCs/>
          <w:noProof w:val="0"/>
          <w:rtl/>
        </w:rPr>
        <w:t xml:space="preserve">המנוחה </w:t>
      </w:r>
      <w:r w:rsidR="00A3012C" w:rsidRPr="005767B0">
        <w:rPr>
          <w:rFonts w:ascii="David" w:eastAsia="Calibri" w:hAnsi="David" w:hint="cs"/>
          <w:b/>
          <w:bCs/>
          <w:noProof w:val="0"/>
          <w:rtl/>
        </w:rPr>
        <w:t xml:space="preserve">לערוך את הצוואה המאוחרת לנוכח הצוואה ההדדית, </w:t>
      </w:r>
      <w:r w:rsidR="00234C22" w:rsidRPr="005767B0">
        <w:rPr>
          <w:rFonts w:ascii="David" w:eastAsia="Calibri" w:hAnsi="David" w:hint="cs"/>
          <w:noProof w:val="0"/>
          <w:rtl/>
        </w:rPr>
        <w:t>האם יש להחיל את</w:t>
      </w:r>
      <w:r w:rsidR="00234C22" w:rsidRPr="005767B0">
        <w:rPr>
          <w:rFonts w:ascii="David" w:eastAsia="Calibri" w:hAnsi="David" w:hint="cs"/>
          <w:b/>
          <w:bCs/>
          <w:noProof w:val="0"/>
          <w:rtl/>
        </w:rPr>
        <w:t xml:space="preserve"> </w:t>
      </w:r>
      <w:r w:rsidR="00234C22" w:rsidRPr="005767B0">
        <w:rPr>
          <w:rFonts w:ascii="David" w:eastAsia="Calibri" w:hAnsi="David" w:hint="cs"/>
          <w:noProof w:val="0"/>
          <w:rtl/>
        </w:rPr>
        <w:t>הוראת</w:t>
      </w:r>
      <w:r w:rsidR="00234C22" w:rsidRPr="005767B0">
        <w:rPr>
          <w:rFonts w:ascii="David" w:eastAsia="Calibri" w:hAnsi="David" w:hint="cs"/>
          <w:b/>
          <w:bCs/>
          <w:noProof w:val="0"/>
          <w:rtl/>
        </w:rPr>
        <w:t xml:space="preserve"> סעיף  א לחוק הירושה</w:t>
      </w:r>
      <w:r w:rsidR="00A57AC8" w:rsidRPr="009B504D">
        <w:rPr>
          <w:rFonts w:ascii="David" w:eastAsia="Calibri" w:hAnsi="David"/>
          <w:noProof w:val="0"/>
          <w:rtl/>
        </w:rPr>
        <w:t>, תשכ"ה-1965 (להלן- "</w:t>
      </w:r>
      <w:r w:rsidR="00A57AC8" w:rsidRPr="009B504D">
        <w:rPr>
          <w:rFonts w:ascii="David" w:eastAsia="Calibri" w:hAnsi="David"/>
          <w:b/>
          <w:bCs/>
          <w:noProof w:val="0"/>
          <w:rtl/>
        </w:rPr>
        <w:t>חוק הירושה</w:t>
      </w:r>
      <w:r w:rsidR="00A57AC8" w:rsidRPr="009B504D">
        <w:rPr>
          <w:rFonts w:ascii="David" w:eastAsia="Calibri" w:hAnsi="David"/>
          <w:noProof w:val="0"/>
          <w:rtl/>
        </w:rPr>
        <w:t>")</w:t>
      </w:r>
      <w:r w:rsidR="00A57AC8">
        <w:rPr>
          <w:rFonts w:ascii="David" w:eastAsia="Calibri" w:hAnsi="David" w:hint="cs"/>
          <w:b/>
          <w:bCs/>
          <w:noProof w:val="0"/>
          <w:rtl/>
        </w:rPr>
        <w:t>,</w:t>
      </w:r>
      <w:r w:rsidR="00234C22" w:rsidRPr="005767B0">
        <w:rPr>
          <w:rFonts w:ascii="David" w:eastAsia="Calibri" w:hAnsi="David" w:hint="cs"/>
          <w:b/>
          <w:bCs/>
          <w:noProof w:val="0"/>
          <w:rtl/>
        </w:rPr>
        <w:t xml:space="preserve"> </w:t>
      </w:r>
      <w:r w:rsidR="00234C22" w:rsidRPr="005767B0">
        <w:rPr>
          <w:rFonts w:ascii="David" w:eastAsia="Calibri" w:hAnsi="David" w:hint="cs"/>
          <w:noProof w:val="0"/>
          <w:rtl/>
        </w:rPr>
        <w:t>בהינתן כי הצוואה המאוחרת נערכה לאחר התיקון לחוק</w:t>
      </w:r>
      <w:r w:rsidR="00234C22" w:rsidRPr="005767B0">
        <w:rPr>
          <w:rFonts w:ascii="David" w:eastAsia="Calibri" w:hAnsi="David" w:hint="cs"/>
          <w:b/>
          <w:bCs/>
          <w:noProof w:val="0"/>
          <w:rtl/>
        </w:rPr>
        <w:t xml:space="preserve">; מה המשמעות של </w:t>
      </w:r>
      <w:r w:rsidRPr="005767B0">
        <w:rPr>
          <w:rFonts w:ascii="David" w:eastAsia="Calibri" w:hAnsi="David"/>
          <w:b/>
          <w:bCs/>
          <w:noProof w:val="0"/>
          <w:rtl/>
        </w:rPr>
        <w:t>הוראת סעיף 11 לצוואה ההדדית –</w:t>
      </w:r>
      <w:r w:rsidR="00234C22" w:rsidRPr="005767B0">
        <w:rPr>
          <w:rFonts w:ascii="David" w:eastAsia="Calibri" w:hAnsi="David" w:hint="cs"/>
          <w:noProof w:val="0"/>
          <w:rtl/>
        </w:rPr>
        <w:t xml:space="preserve"> </w:t>
      </w:r>
      <w:r w:rsidRPr="005767B0">
        <w:rPr>
          <w:rFonts w:ascii="David" w:eastAsia="Calibri" w:hAnsi="David"/>
          <w:noProof w:val="0"/>
          <w:rtl/>
        </w:rPr>
        <w:t xml:space="preserve">האם הוא מאפשר לבני הזוג לבטל או לשנות את הצוואה </w:t>
      </w:r>
      <w:r w:rsidRPr="005767B0">
        <w:rPr>
          <w:rFonts w:ascii="David" w:eastAsia="Calibri" w:hAnsi="David"/>
          <w:b/>
          <w:bCs/>
          <w:noProof w:val="0"/>
          <w:rtl/>
        </w:rPr>
        <w:t>בכל עת</w:t>
      </w:r>
      <w:r w:rsidRPr="005767B0">
        <w:rPr>
          <w:rFonts w:ascii="David" w:eastAsia="Calibri" w:hAnsi="David"/>
          <w:noProof w:val="0"/>
          <w:rtl/>
        </w:rPr>
        <w:t xml:space="preserve">, שמא הוא מגביל את הזכות לשנות או לבטל את הצוואה ההדדית, לנוכח </w:t>
      </w:r>
      <w:r w:rsidRPr="005767B0">
        <w:rPr>
          <w:rFonts w:ascii="David" w:eastAsia="Calibri" w:hAnsi="David"/>
          <w:b/>
          <w:bCs/>
          <w:noProof w:val="0"/>
          <w:rtl/>
        </w:rPr>
        <w:t>לשון הרבים</w:t>
      </w:r>
      <w:r w:rsidRPr="005767B0">
        <w:rPr>
          <w:rFonts w:ascii="David" w:eastAsia="Calibri" w:hAnsi="David"/>
          <w:noProof w:val="0"/>
          <w:rtl/>
        </w:rPr>
        <w:t xml:space="preserve"> בה </w:t>
      </w:r>
      <w:r w:rsidR="00E660B3" w:rsidRPr="005767B0">
        <w:rPr>
          <w:rFonts w:ascii="David" w:eastAsia="Calibri" w:hAnsi="David" w:hint="cs"/>
          <w:noProof w:val="0"/>
          <w:rtl/>
        </w:rPr>
        <w:t xml:space="preserve">נוקט </w:t>
      </w:r>
      <w:r w:rsidRPr="005767B0">
        <w:rPr>
          <w:rFonts w:ascii="David" w:eastAsia="Calibri" w:hAnsi="David"/>
          <w:noProof w:val="0"/>
          <w:rtl/>
        </w:rPr>
        <w:t>הסעיף?</w:t>
      </w:r>
      <w:r w:rsidR="00036B6C" w:rsidRPr="005767B0">
        <w:rPr>
          <w:rFonts w:ascii="David" w:eastAsia="Calibri" w:hAnsi="David" w:hint="cs"/>
          <w:noProof w:val="0"/>
          <w:rtl/>
        </w:rPr>
        <w:t xml:space="preserve"> והאם יש לראות בו משום 'הגבלה מפורשת או משתמעת</w:t>
      </w:r>
      <w:r w:rsidR="000E206F" w:rsidRPr="005767B0">
        <w:rPr>
          <w:rFonts w:hint="cs"/>
          <w:rtl/>
        </w:rPr>
        <w:t>'</w:t>
      </w:r>
      <w:r w:rsidR="000E206F" w:rsidRPr="005767B0">
        <w:rPr>
          <w:rtl/>
        </w:rPr>
        <w:t xml:space="preserve"> </w:t>
      </w:r>
      <w:r w:rsidR="000E206F" w:rsidRPr="005767B0">
        <w:rPr>
          <w:rFonts w:ascii="David" w:eastAsia="Calibri" w:hAnsi="David"/>
          <w:noProof w:val="0"/>
          <w:rtl/>
        </w:rPr>
        <w:t xml:space="preserve">על </w:t>
      </w:r>
      <w:r w:rsidR="000E206F" w:rsidRPr="005767B0">
        <w:rPr>
          <w:rFonts w:ascii="David" w:eastAsia="Calibri" w:hAnsi="David" w:hint="cs"/>
          <w:noProof w:val="0"/>
          <w:rtl/>
        </w:rPr>
        <w:t xml:space="preserve">יכולת </w:t>
      </w:r>
      <w:r w:rsidR="000E206F" w:rsidRPr="005767B0">
        <w:rPr>
          <w:rFonts w:ascii="David" w:eastAsia="Calibri" w:hAnsi="David"/>
          <w:noProof w:val="0"/>
          <w:rtl/>
        </w:rPr>
        <w:t>המנוח</w:t>
      </w:r>
      <w:r w:rsidR="000E206F" w:rsidRPr="005767B0">
        <w:rPr>
          <w:rFonts w:ascii="David" w:eastAsia="Calibri" w:hAnsi="David" w:hint="cs"/>
          <w:noProof w:val="0"/>
          <w:rtl/>
        </w:rPr>
        <w:t>ה</w:t>
      </w:r>
      <w:r w:rsidR="000E206F" w:rsidRPr="005767B0">
        <w:rPr>
          <w:rFonts w:ascii="David" w:eastAsia="Calibri" w:hAnsi="David"/>
          <w:noProof w:val="0"/>
          <w:rtl/>
        </w:rPr>
        <w:t xml:space="preserve"> לשנות מצוואת</w:t>
      </w:r>
      <w:r w:rsidR="000E206F" w:rsidRPr="005767B0">
        <w:rPr>
          <w:rFonts w:ascii="David" w:eastAsia="Calibri" w:hAnsi="David" w:hint="cs"/>
          <w:noProof w:val="0"/>
          <w:rtl/>
        </w:rPr>
        <w:t>ה לאחר פטירת בן זוגה</w:t>
      </w:r>
      <w:r w:rsidR="00234C22" w:rsidRPr="005767B0">
        <w:rPr>
          <w:rFonts w:ascii="David" w:eastAsia="Calibri" w:hAnsi="David" w:hint="cs"/>
          <w:noProof w:val="0"/>
          <w:rtl/>
        </w:rPr>
        <w:t xml:space="preserve">; כן חלוקים הצדדים אודות פרשנות </w:t>
      </w:r>
      <w:r w:rsidR="00234C22" w:rsidRPr="005767B0">
        <w:rPr>
          <w:rFonts w:ascii="David" w:eastAsia="Calibri" w:hAnsi="David" w:hint="cs"/>
          <w:b/>
          <w:bCs/>
          <w:noProof w:val="0"/>
          <w:rtl/>
        </w:rPr>
        <w:t>סעיף 5 לצוואה</w:t>
      </w:r>
      <w:r w:rsidR="00234C22" w:rsidRPr="005767B0">
        <w:rPr>
          <w:rFonts w:ascii="David" w:eastAsia="Calibri" w:hAnsi="David" w:hint="cs"/>
          <w:noProof w:val="0"/>
          <w:rtl/>
        </w:rPr>
        <w:t xml:space="preserve">, האם הוא מהווה הוראת </w:t>
      </w:r>
      <w:r w:rsidR="00234C22" w:rsidRPr="005767B0">
        <w:rPr>
          <w:rFonts w:ascii="David" w:eastAsia="Calibri" w:hAnsi="David" w:hint="cs"/>
          <w:b/>
          <w:bCs/>
          <w:noProof w:val="0"/>
          <w:rtl/>
        </w:rPr>
        <w:t>יורש במקום יורש</w:t>
      </w:r>
      <w:r w:rsidR="00234C22" w:rsidRPr="005767B0">
        <w:rPr>
          <w:rFonts w:ascii="David" w:eastAsia="Calibri" w:hAnsi="David" w:hint="cs"/>
          <w:noProof w:val="0"/>
          <w:rtl/>
        </w:rPr>
        <w:t xml:space="preserve">, או </w:t>
      </w:r>
      <w:r w:rsidR="00234C22" w:rsidRPr="005767B0">
        <w:rPr>
          <w:rFonts w:ascii="David" w:eastAsia="Calibri" w:hAnsi="David" w:hint="cs"/>
          <w:b/>
          <w:bCs/>
          <w:noProof w:val="0"/>
          <w:rtl/>
        </w:rPr>
        <w:t>יורש אחר יורש</w:t>
      </w:r>
      <w:r w:rsidR="00234C22" w:rsidRPr="005767B0">
        <w:rPr>
          <w:rFonts w:ascii="David" w:eastAsia="Calibri" w:hAnsi="David" w:hint="cs"/>
          <w:noProof w:val="0"/>
          <w:rtl/>
        </w:rPr>
        <w:t xml:space="preserve">, </w:t>
      </w:r>
      <w:r w:rsidR="00A57AC8">
        <w:rPr>
          <w:rFonts w:ascii="David" w:eastAsia="Calibri" w:hAnsi="David" w:hint="cs"/>
          <w:noProof w:val="0"/>
          <w:rtl/>
        </w:rPr>
        <w:t xml:space="preserve">וככל שכך, האם </w:t>
      </w:r>
      <w:r w:rsidR="00234C22" w:rsidRPr="005767B0">
        <w:rPr>
          <w:rFonts w:ascii="David" w:eastAsia="Calibri" w:hAnsi="David" w:hint="cs"/>
          <w:noProof w:val="0"/>
          <w:rtl/>
        </w:rPr>
        <w:t>יש בו כדי להגביל את המנוחה מלערוך צוואה נוגדת להוראותיו</w:t>
      </w:r>
      <w:r w:rsidR="00A57AC8">
        <w:rPr>
          <w:rFonts w:ascii="David" w:eastAsia="Calibri" w:hAnsi="David" w:hint="cs"/>
          <w:noProof w:val="0"/>
          <w:rtl/>
        </w:rPr>
        <w:t xml:space="preserve"> מטעם זה</w:t>
      </w:r>
      <w:r w:rsidR="00234C22" w:rsidRPr="005767B0">
        <w:rPr>
          <w:rFonts w:ascii="David" w:eastAsia="Calibri" w:hAnsi="David" w:hint="cs"/>
          <w:noProof w:val="0"/>
          <w:rtl/>
        </w:rPr>
        <w:t>.</w:t>
      </w:r>
    </w:p>
    <w:p w:rsidR="005767B0" w:rsidRDefault="005767B0" w:rsidP="005767B0">
      <w:pPr>
        <w:pStyle w:val="ae"/>
        <w:rPr>
          <w:rFonts w:ascii="David" w:eastAsia="Calibri" w:hAnsi="David"/>
          <w:noProof w:val="0"/>
          <w:highlight w:val="yellow"/>
          <w:rtl/>
        </w:rPr>
      </w:pPr>
    </w:p>
    <w:p w:rsidR="00036B6C" w:rsidRDefault="00036B6C" w:rsidP="000E206F">
      <w:pPr>
        <w:numPr>
          <w:ilvl w:val="0"/>
          <w:numId w:val="4"/>
        </w:numPr>
        <w:spacing w:after="160" w:line="360" w:lineRule="auto"/>
        <w:ind w:left="368"/>
        <w:contextualSpacing/>
        <w:jc w:val="both"/>
        <w:rPr>
          <w:rFonts w:ascii="David" w:eastAsia="Calibri" w:hAnsi="David"/>
          <w:noProof w:val="0"/>
        </w:rPr>
      </w:pPr>
      <w:r>
        <w:rPr>
          <w:rFonts w:ascii="David" w:eastAsia="Calibri" w:hAnsi="David" w:hint="cs"/>
          <w:noProof w:val="0"/>
          <w:rtl/>
        </w:rPr>
        <w:t>אקדים ואבהיר כי אין בהחלטה זו משום הכרעה ביחס לתוקפה של הצוואה המאוחרת לנוכח טענות ההתנגד</w:t>
      </w:r>
      <w:r w:rsidR="004A715D">
        <w:rPr>
          <w:rFonts w:ascii="David" w:eastAsia="Calibri" w:hAnsi="David" w:hint="cs"/>
          <w:noProof w:val="0"/>
          <w:rtl/>
        </w:rPr>
        <w:t xml:space="preserve">ות שהעלו הצדדים, אלא </w:t>
      </w:r>
      <w:r w:rsidR="00AA4588" w:rsidRPr="005767B0">
        <w:rPr>
          <w:rFonts w:ascii="David" w:eastAsia="Calibri" w:hAnsi="David" w:hint="cs"/>
          <w:noProof w:val="0"/>
          <w:rtl/>
        </w:rPr>
        <w:t>אך</w:t>
      </w:r>
      <w:r w:rsidR="00AA4588">
        <w:rPr>
          <w:rFonts w:ascii="David" w:eastAsia="Calibri" w:hAnsi="David" w:hint="cs"/>
          <w:noProof w:val="0"/>
          <w:rtl/>
        </w:rPr>
        <w:t xml:space="preserve"> </w:t>
      </w:r>
      <w:r w:rsidR="004A715D">
        <w:rPr>
          <w:rFonts w:ascii="David" w:eastAsia="Calibri" w:hAnsi="David" w:hint="cs"/>
          <w:noProof w:val="0"/>
          <w:rtl/>
        </w:rPr>
        <w:t>הכרעה בסוג</w:t>
      </w:r>
      <w:r>
        <w:rPr>
          <w:rFonts w:ascii="David" w:eastAsia="Calibri" w:hAnsi="David" w:hint="cs"/>
          <w:noProof w:val="0"/>
          <w:rtl/>
        </w:rPr>
        <w:t>יה המקדמית</w:t>
      </w:r>
      <w:r w:rsidR="005767B0">
        <w:rPr>
          <w:rFonts w:ascii="David" w:eastAsia="Calibri" w:hAnsi="David" w:hint="cs"/>
          <w:noProof w:val="0"/>
          <w:rtl/>
        </w:rPr>
        <w:t>,</w:t>
      </w:r>
      <w:r>
        <w:rPr>
          <w:rFonts w:ascii="David" w:eastAsia="Calibri" w:hAnsi="David" w:hint="cs"/>
          <w:noProof w:val="0"/>
          <w:rtl/>
        </w:rPr>
        <w:t xml:space="preserve"> האם בכלל ניתן היה בידי המנוחה לערוך צוואה מאוחרת לצוואה שערכה ביחד עם בעלה המנוח קודם לפטירתו; </w:t>
      </w:r>
    </w:p>
    <w:p w:rsidR="00036B6C" w:rsidRDefault="00036B6C" w:rsidP="00036B6C">
      <w:pPr>
        <w:pStyle w:val="ae"/>
        <w:rPr>
          <w:rFonts w:ascii="David" w:eastAsia="Calibri" w:hAnsi="David"/>
          <w:noProof w:val="0"/>
          <w:rtl/>
        </w:rPr>
      </w:pPr>
    </w:p>
    <w:p w:rsidR="00036B6C" w:rsidRDefault="00036B6C" w:rsidP="00036B6C">
      <w:pPr>
        <w:numPr>
          <w:ilvl w:val="0"/>
          <w:numId w:val="4"/>
        </w:numPr>
        <w:spacing w:after="160" w:line="360" w:lineRule="auto"/>
        <w:ind w:left="368"/>
        <w:contextualSpacing/>
        <w:jc w:val="both"/>
        <w:rPr>
          <w:rFonts w:ascii="David" w:eastAsia="Calibri" w:hAnsi="David"/>
          <w:noProof w:val="0"/>
        </w:rPr>
      </w:pPr>
      <w:r w:rsidRPr="00E34603">
        <w:rPr>
          <w:rFonts w:ascii="David" w:eastAsia="Calibri" w:hAnsi="David"/>
          <w:noProof w:val="0"/>
          <w:rtl/>
        </w:rPr>
        <w:t xml:space="preserve">ככל שייקבע כי </w:t>
      </w:r>
      <w:r>
        <w:rPr>
          <w:rFonts w:ascii="David" w:eastAsia="Calibri" w:hAnsi="David" w:hint="cs"/>
          <w:noProof w:val="0"/>
          <w:rtl/>
        </w:rPr>
        <w:t>הוראות ה</w:t>
      </w:r>
      <w:r w:rsidRPr="00E34603">
        <w:rPr>
          <w:rFonts w:ascii="David" w:eastAsia="Calibri" w:hAnsi="David"/>
          <w:noProof w:val="0"/>
          <w:rtl/>
        </w:rPr>
        <w:t xml:space="preserve">צוואה ההדדית מונעת שינוי חד צדדי על ידי בן הזוג שנותר בחיים  - הרי שממילא הדבר יאיין את תוקפה של צוואת 2015 שערכה המנוחה לאחר פטירת המנוח, ומשכך אף יתייתר הצורך לדון בהתנגדויות שהוגשו בגינה; </w:t>
      </w:r>
      <w:r>
        <w:rPr>
          <w:rFonts w:ascii="David" w:eastAsia="Calibri" w:hAnsi="David" w:hint="cs"/>
          <w:noProof w:val="0"/>
          <w:rtl/>
        </w:rPr>
        <w:t>אולם, ככל שתידחה הטענה המקדמית, אדרש לדון בטענות ההתנגדות</w:t>
      </w:r>
      <w:r w:rsidRPr="001A7290">
        <w:rPr>
          <w:rFonts w:ascii="David" w:eastAsia="Calibri" w:hAnsi="David" w:hint="cs"/>
          <w:noProof w:val="0"/>
          <w:rtl/>
        </w:rPr>
        <w:t xml:space="preserve"> </w:t>
      </w:r>
      <w:r w:rsidRPr="00E34603">
        <w:rPr>
          <w:rFonts w:ascii="David" w:eastAsia="Calibri" w:hAnsi="David"/>
          <w:noProof w:val="0"/>
          <w:rtl/>
        </w:rPr>
        <w:t>שהוגשו לצוואת 2015</w:t>
      </w:r>
      <w:r>
        <w:rPr>
          <w:rFonts w:ascii="David" w:eastAsia="Calibri" w:hAnsi="David" w:hint="cs"/>
          <w:noProof w:val="0"/>
          <w:rtl/>
        </w:rPr>
        <w:t xml:space="preserve"> לגופן, וייקבע מתווה דיוני לבירורן.</w:t>
      </w:r>
    </w:p>
    <w:p w:rsidR="00234C22" w:rsidRPr="00234C22" w:rsidRDefault="00234C22" w:rsidP="00234C22">
      <w:pPr>
        <w:pStyle w:val="ae"/>
        <w:rPr>
          <w:rFonts w:ascii="David" w:eastAsia="Calibri" w:hAnsi="David"/>
          <w:noProof w:val="0"/>
          <w:rtl/>
        </w:rPr>
      </w:pPr>
    </w:p>
    <w:p w:rsidR="00E34603" w:rsidRPr="00E34603" w:rsidRDefault="00E34603" w:rsidP="00F272CD">
      <w:pPr>
        <w:spacing w:line="360" w:lineRule="auto"/>
        <w:contextualSpacing/>
        <w:jc w:val="both"/>
        <w:rPr>
          <w:rFonts w:ascii="David" w:eastAsia="Calibri" w:hAnsi="David"/>
          <w:noProof w:val="0"/>
          <w:rtl/>
        </w:rPr>
      </w:pPr>
      <w:r w:rsidRPr="00E34603">
        <w:rPr>
          <w:rFonts w:ascii="David" w:eastAsia="Calibri" w:hAnsi="David"/>
          <w:b/>
          <w:bCs/>
          <w:noProof w:val="0"/>
          <w:rtl/>
        </w:rPr>
        <w:t xml:space="preserve">טענות המבקשת – הגב' </w:t>
      </w:r>
      <w:r w:rsidR="00F272CD">
        <w:rPr>
          <w:rFonts w:ascii="David" w:eastAsia="Calibri" w:hAnsi="David" w:hint="cs"/>
          <w:b/>
          <w:bCs/>
          <w:noProof w:val="0"/>
          <w:rtl/>
        </w:rPr>
        <w:t>א.א.</w:t>
      </w:r>
      <w:r w:rsidRPr="00E34603">
        <w:rPr>
          <w:rFonts w:ascii="David" w:eastAsia="Calibri" w:hAnsi="David"/>
          <w:b/>
          <w:bCs/>
          <w:noProof w:val="0"/>
          <w:rtl/>
        </w:rPr>
        <w:t xml:space="preserve"> </w:t>
      </w:r>
    </w:p>
    <w:p w:rsidR="00E34603" w:rsidRPr="00E34603" w:rsidRDefault="00E34603" w:rsidP="00E34603">
      <w:pPr>
        <w:spacing w:line="360" w:lineRule="auto"/>
        <w:ind w:left="368"/>
        <w:contextualSpacing/>
        <w:jc w:val="both"/>
        <w:rPr>
          <w:rFonts w:ascii="David" w:eastAsia="Calibri" w:hAnsi="David"/>
          <w:noProof w:val="0"/>
          <w:rtl/>
        </w:rPr>
      </w:pPr>
    </w:p>
    <w:p w:rsidR="00E34603" w:rsidRPr="00E34603" w:rsidRDefault="00E34603" w:rsidP="004F4CB6">
      <w:pPr>
        <w:numPr>
          <w:ilvl w:val="0"/>
          <w:numId w:val="4"/>
        </w:numPr>
        <w:spacing w:after="160" w:line="360" w:lineRule="auto"/>
        <w:ind w:left="368"/>
        <w:contextualSpacing/>
        <w:jc w:val="both"/>
        <w:rPr>
          <w:rFonts w:ascii="David" w:eastAsia="Calibri" w:hAnsi="David"/>
          <w:noProof w:val="0"/>
          <w:rtl/>
        </w:rPr>
      </w:pPr>
      <w:r w:rsidRPr="00E34603">
        <w:rPr>
          <w:rFonts w:ascii="David" w:eastAsia="Calibri" w:hAnsi="David"/>
          <w:noProof w:val="0"/>
          <w:rtl/>
        </w:rPr>
        <w:t>צוואת 2005</w:t>
      </w:r>
      <w:r w:rsidR="004F4CB6">
        <w:rPr>
          <w:rFonts w:ascii="David" w:eastAsia="Calibri" w:hAnsi="David" w:hint="cs"/>
          <w:noProof w:val="0"/>
          <w:rtl/>
        </w:rPr>
        <w:t>,</w:t>
      </w:r>
      <w:r w:rsidRPr="00E34603">
        <w:rPr>
          <w:rFonts w:ascii="David" w:eastAsia="Calibri" w:hAnsi="David"/>
          <w:noProof w:val="0"/>
          <w:rtl/>
        </w:rPr>
        <w:t xml:space="preserve"> </w:t>
      </w:r>
      <w:r w:rsidR="004F4CB6" w:rsidRPr="00E34603">
        <w:rPr>
          <w:rFonts w:ascii="David" w:eastAsia="Calibri" w:hAnsi="David"/>
          <w:noProof w:val="0"/>
          <w:rtl/>
        </w:rPr>
        <w:t>שקיבלה תוקף לקיומה ביום 28.7.14</w:t>
      </w:r>
      <w:r w:rsidR="004F4CB6">
        <w:rPr>
          <w:rFonts w:ascii="David" w:eastAsia="Calibri" w:hAnsi="David" w:hint="cs"/>
          <w:noProof w:val="0"/>
          <w:rtl/>
        </w:rPr>
        <w:t xml:space="preserve">, </w:t>
      </w:r>
      <w:r w:rsidRPr="00E34603">
        <w:rPr>
          <w:rFonts w:ascii="David" w:eastAsia="Calibri" w:hAnsi="David"/>
          <w:noProof w:val="0"/>
          <w:rtl/>
        </w:rPr>
        <w:t xml:space="preserve">היא </w:t>
      </w:r>
      <w:r w:rsidRPr="00E34603">
        <w:rPr>
          <w:rFonts w:ascii="David" w:eastAsia="Calibri" w:hAnsi="David"/>
          <w:b/>
          <w:bCs/>
          <w:noProof w:val="0"/>
          <w:rtl/>
        </w:rPr>
        <w:t>צוואה הדדית</w:t>
      </w:r>
      <w:r w:rsidRPr="00E34603">
        <w:rPr>
          <w:rFonts w:ascii="David" w:eastAsia="Calibri" w:hAnsi="David"/>
          <w:noProof w:val="0"/>
          <w:rtl/>
        </w:rPr>
        <w:t xml:space="preserve"> כמשמעותה בסעיף 8א(א) לחוק הירושה והמנוחה לא יכולה לשנות את הצוואה, כולה או חלקה ע"י צוואת 2015.</w:t>
      </w:r>
    </w:p>
    <w:p w:rsidR="00E34603" w:rsidRPr="00E34603" w:rsidRDefault="00E34603" w:rsidP="00E34603">
      <w:pPr>
        <w:spacing w:line="360" w:lineRule="auto"/>
        <w:ind w:left="368"/>
        <w:contextualSpacing/>
        <w:jc w:val="both"/>
        <w:rPr>
          <w:rFonts w:ascii="David" w:eastAsia="Calibri" w:hAnsi="David"/>
          <w:noProof w:val="0"/>
        </w:rPr>
      </w:pPr>
    </w:p>
    <w:p w:rsidR="00E34603" w:rsidRPr="004F4CB6" w:rsidRDefault="00E34603" w:rsidP="004F4CB6">
      <w:pPr>
        <w:numPr>
          <w:ilvl w:val="0"/>
          <w:numId w:val="4"/>
        </w:numPr>
        <w:spacing w:after="160" w:line="360" w:lineRule="auto"/>
        <w:ind w:left="368"/>
        <w:contextualSpacing/>
        <w:jc w:val="both"/>
        <w:rPr>
          <w:rFonts w:ascii="David" w:eastAsia="Calibri" w:hAnsi="David"/>
          <w:noProof w:val="0"/>
        </w:rPr>
      </w:pPr>
      <w:r w:rsidRPr="00E34603">
        <w:rPr>
          <w:rFonts w:ascii="David" w:eastAsia="Calibri" w:hAnsi="David"/>
          <w:noProof w:val="0"/>
          <w:rtl/>
        </w:rPr>
        <w:t xml:space="preserve">המנוחים </w:t>
      </w:r>
      <w:r w:rsidRPr="00E34603">
        <w:rPr>
          <w:rFonts w:ascii="David" w:eastAsia="Calibri" w:hAnsi="David"/>
          <w:b/>
          <w:bCs/>
          <w:noProof w:val="0"/>
          <w:rtl/>
        </w:rPr>
        <w:t>הסתמכו</w:t>
      </w:r>
      <w:r w:rsidRPr="00E34603">
        <w:rPr>
          <w:rFonts w:ascii="David" w:eastAsia="Calibri" w:hAnsi="David"/>
          <w:noProof w:val="0"/>
          <w:rtl/>
        </w:rPr>
        <w:t xml:space="preserve"> זה על זה, איחדו את רצונם המשותף, התייחסו אל עצמם </w:t>
      </w:r>
      <w:r w:rsidRPr="00E34603">
        <w:rPr>
          <w:rFonts w:ascii="David" w:eastAsia="Calibri" w:hAnsi="David"/>
          <w:b/>
          <w:bCs/>
          <w:noProof w:val="0"/>
          <w:rtl/>
        </w:rPr>
        <w:t>בלשון רבים</w:t>
      </w:r>
      <w:r w:rsidRPr="00E34603">
        <w:rPr>
          <w:rFonts w:ascii="David" w:eastAsia="Calibri" w:hAnsi="David"/>
          <w:noProof w:val="0"/>
          <w:rtl/>
        </w:rPr>
        <w:t xml:space="preserve"> וקבעו </w:t>
      </w:r>
      <w:r w:rsidRPr="00E34603">
        <w:rPr>
          <w:rFonts w:ascii="David" w:eastAsia="Calibri" w:hAnsi="David"/>
          <w:b/>
          <w:bCs/>
          <w:noProof w:val="0"/>
          <w:rtl/>
        </w:rPr>
        <w:t>הגבלה מפורשת</w:t>
      </w:r>
      <w:r w:rsidRPr="00E34603">
        <w:rPr>
          <w:rFonts w:ascii="David" w:eastAsia="Calibri" w:hAnsi="David"/>
          <w:noProof w:val="0"/>
          <w:rtl/>
        </w:rPr>
        <w:t xml:space="preserve"> בסעיף 11 לצוואה, כשהמנוחים מציגים עצמם כישות אחת, ולפיה הם יוכלו לשנות </w:t>
      </w:r>
      <w:r w:rsidRPr="00E34603">
        <w:rPr>
          <w:rFonts w:ascii="David" w:eastAsia="Calibri" w:hAnsi="David"/>
          <w:b/>
          <w:bCs/>
          <w:noProof w:val="0"/>
          <w:rtl/>
        </w:rPr>
        <w:t>ביחד</w:t>
      </w:r>
      <w:r w:rsidRPr="00E34603">
        <w:rPr>
          <w:rFonts w:ascii="David" w:eastAsia="Calibri" w:hAnsi="David"/>
          <w:noProof w:val="0"/>
          <w:rtl/>
        </w:rPr>
        <w:t xml:space="preserve"> את הצוואה, וכל עוד היא לא תשונה ביחד – היא תקפה</w:t>
      </w:r>
      <w:r w:rsidRPr="004F4CB6">
        <w:rPr>
          <w:rFonts w:ascii="David" w:eastAsia="Calibri" w:hAnsi="David"/>
          <w:noProof w:val="0"/>
          <w:rtl/>
        </w:rPr>
        <w:t xml:space="preserve">. המבקשת הפנתה לעניין זה </w:t>
      </w:r>
      <w:r w:rsidR="004F4CB6" w:rsidRPr="004F4CB6">
        <w:rPr>
          <w:rFonts w:ascii="David" w:eastAsia="Calibri" w:hAnsi="David" w:hint="cs"/>
          <w:noProof w:val="0"/>
          <w:rtl/>
        </w:rPr>
        <w:t>ל</w:t>
      </w:r>
      <w:r w:rsidR="004F4CB6" w:rsidRPr="004F4CB6">
        <w:rPr>
          <w:rFonts w:ascii="David" w:eastAsia="Calibri" w:hAnsi="David"/>
          <w:noProof w:val="0"/>
          <w:rtl/>
        </w:rPr>
        <w:t xml:space="preserve">פסק דין של כב' השופט גורודצקי </w:t>
      </w:r>
      <w:r w:rsidR="004F4CB6" w:rsidRPr="004F4CB6">
        <w:rPr>
          <w:rFonts w:ascii="David" w:eastAsia="Calibri" w:hAnsi="David" w:hint="cs"/>
          <w:noProof w:val="0"/>
          <w:rtl/>
        </w:rPr>
        <w:t>ב</w:t>
      </w:r>
      <w:r w:rsidRPr="004F4CB6">
        <w:rPr>
          <w:rFonts w:ascii="David" w:eastAsia="Calibri" w:hAnsi="David"/>
          <w:noProof w:val="0"/>
          <w:rtl/>
        </w:rPr>
        <w:t>ת"ע 41295-09-16</w:t>
      </w:r>
      <w:r w:rsidR="004F4CB6">
        <w:rPr>
          <w:rFonts w:ascii="David" w:eastAsia="Calibri" w:hAnsi="David" w:hint="cs"/>
          <w:noProof w:val="0"/>
          <w:rtl/>
        </w:rPr>
        <w:t>.</w:t>
      </w:r>
      <w:r w:rsidRPr="004F4CB6">
        <w:rPr>
          <w:rFonts w:ascii="David" w:eastAsia="Calibri" w:hAnsi="David"/>
          <w:noProof w:val="0"/>
          <w:rtl/>
        </w:rPr>
        <w:t xml:space="preserve"> </w:t>
      </w:r>
    </w:p>
    <w:p w:rsidR="00E34603" w:rsidRPr="00E34603" w:rsidRDefault="00E34603" w:rsidP="00E34603">
      <w:pPr>
        <w:spacing w:after="160" w:line="256" w:lineRule="auto"/>
        <w:ind w:left="720"/>
        <w:contextualSpacing/>
        <w:rPr>
          <w:rFonts w:ascii="David" w:eastAsia="Calibri" w:hAnsi="David"/>
          <w:noProof w:val="0"/>
        </w:rPr>
      </w:pPr>
    </w:p>
    <w:p w:rsidR="00E34603" w:rsidRPr="00E34603" w:rsidRDefault="00E34603" w:rsidP="004F4CB6">
      <w:pPr>
        <w:numPr>
          <w:ilvl w:val="0"/>
          <w:numId w:val="4"/>
        </w:numPr>
        <w:spacing w:after="160" w:line="360" w:lineRule="auto"/>
        <w:ind w:left="368"/>
        <w:contextualSpacing/>
        <w:jc w:val="both"/>
        <w:rPr>
          <w:rFonts w:ascii="David" w:eastAsia="Calibri" w:hAnsi="David"/>
          <w:noProof w:val="0"/>
          <w:rtl/>
        </w:rPr>
      </w:pPr>
      <w:r w:rsidRPr="00E34603">
        <w:rPr>
          <w:rFonts w:ascii="David" w:eastAsia="Calibri" w:hAnsi="David"/>
          <w:noProof w:val="0"/>
          <w:rtl/>
        </w:rPr>
        <w:t xml:space="preserve">צוואת 2005 נערכה ביום 27.4.05, לאחר שהתיקון </w:t>
      </w:r>
      <w:r w:rsidR="00A57AC8">
        <w:rPr>
          <w:rFonts w:ascii="David" w:eastAsia="Calibri" w:hAnsi="David" w:hint="cs"/>
          <w:noProof w:val="0"/>
          <w:rtl/>
        </w:rPr>
        <w:t xml:space="preserve">לחוק </w:t>
      </w:r>
      <w:r w:rsidRPr="00E34603">
        <w:rPr>
          <w:rFonts w:ascii="David" w:eastAsia="Calibri" w:hAnsi="David"/>
          <w:noProof w:val="0"/>
          <w:rtl/>
        </w:rPr>
        <w:t xml:space="preserve">עבר בקריאה ראשונה ביום 22.3.2005 הליכי החקיקה היו בעיצומם וזמן קצר לפני כניסתו לתוקף. היינו - בעת עריכת צוואת 2005 שררה </w:t>
      </w:r>
      <w:r w:rsidRPr="00E34603">
        <w:rPr>
          <w:rFonts w:ascii="David" w:eastAsia="Calibri" w:hAnsi="David"/>
          <w:b/>
          <w:bCs/>
          <w:noProof w:val="0"/>
          <w:rtl/>
        </w:rPr>
        <w:t>אווירה משפטית</w:t>
      </w:r>
      <w:r w:rsidRPr="00E34603">
        <w:rPr>
          <w:rFonts w:ascii="David" w:eastAsia="Calibri" w:hAnsi="David"/>
          <w:noProof w:val="0"/>
          <w:rtl/>
        </w:rPr>
        <w:t xml:space="preserve"> לפיה עקרון ההסתמכות יעוגן בחוק ללא צורך בקביעה מפורשת לכך בצוואה ההדדית. משכך אף לו הייתה צוואת 2005 שותקת וללא ההגבלה בסעיף 11 לצוואה, הרי לאור האווירה המשפטית הנ"ל אומד דעת הצדדים יפורש כמגביל שינויה באופן חד צדדי אף</w:t>
      </w:r>
      <w:r w:rsidR="004F4CB6">
        <w:rPr>
          <w:rFonts w:ascii="David" w:eastAsia="Calibri" w:hAnsi="David"/>
          <w:noProof w:val="0"/>
          <w:rtl/>
        </w:rPr>
        <w:t xml:space="preserve"> אם הדבר לא צוין מפורשות בצוואה</w:t>
      </w:r>
      <w:r w:rsidR="004F4CB6">
        <w:rPr>
          <w:rFonts w:ascii="David" w:eastAsia="Calibri" w:hAnsi="David" w:hint="cs"/>
          <w:noProof w:val="0"/>
          <w:rtl/>
        </w:rPr>
        <w:t>.</w:t>
      </w:r>
    </w:p>
    <w:p w:rsidR="00E34603" w:rsidRPr="00E34603" w:rsidRDefault="00E34603" w:rsidP="00E34603">
      <w:pPr>
        <w:spacing w:line="360" w:lineRule="auto"/>
        <w:ind w:left="368"/>
        <w:contextualSpacing/>
        <w:jc w:val="both"/>
        <w:rPr>
          <w:rFonts w:ascii="David" w:eastAsia="Calibri" w:hAnsi="David"/>
          <w:noProof w:val="0"/>
        </w:rPr>
      </w:pPr>
    </w:p>
    <w:p w:rsidR="00E34603" w:rsidRPr="00E34603" w:rsidRDefault="004F4CB6" w:rsidP="00035F81">
      <w:pPr>
        <w:numPr>
          <w:ilvl w:val="0"/>
          <w:numId w:val="4"/>
        </w:numPr>
        <w:spacing w:after="160" w:line="360" w:lineRule="auto"/>
        <w:ind w:left="368"/>
        <w:contextualSpacing/>
        <w:jc w:val="both"/>
        <w:rPr>
          <w:rFonts w:ascii="David" w:eastAsia="Calibri" w:hAnsi="David"/>
          <w:noProof w:val="0"/>
        </w:rPr>
      </w:pPr>
      <w:r>
        <w:rPr>
          <w:rFonts w:ascii="David" w:eastAsia="Calibri" w:hAnsi="David" w:hint="cs"/>
          <w:noProof w:val="0"/>
          <w:rtl/>
        </w:rPr>
        <w:t xml:space="preserve">לטענתה, </w:t>
      </w:r>
      <w:r w:rsidR="00E34603" w:rsidRPr="00E34603">
        <w:rPr>
          <w:rFonts w:ascii="David" w:eastAsia="Calibri" w:hAnsi="David"/>
          <w:noProof w:val="0"/>
          <w:rtl/>
        </w:rPr>
        <w:t>קיום המגבלה לשינוי חד צדדי מתבקש גם לנוכח ההסדרים וההגבלות האחרות בצוואה –הגבלה של "</w:t>
      </w:r>
      <w:r w:rsidR="00E34603" w:rsidRPr="00E34603">
        <w:rPr>
          <w:rFonts w:ascii="David" w:eastAsia="Calibri" w:hAnsi="David"/>
          <w:b/>
          <w:bCs/>
          <w:noProof w:val="0"/>
          <w:rtl/>
        </w:rPr>
        <w:t>יורש אחר יורש</w:t>
      </w:r>
      <w:r w:rsidR="00E34603" w:rsidRPr="00E34603">
        <w:rPr>
          <w:rFonts w:ascii="David" w:eastAsia="Calibri" w:hAnsi="David"/>
          <w:noProof w:val="0"/>
          <w:rtl/>
        </w:rPr>
        <w:t xml:space="preserve">", בסעיף 5 לצוואה; </w:t>
      </w:r>
      <w:r w:rsidR="00E34603" w:rsidRPr="00E34603">
        <w:rPr>
          <w:rFonts w:ascii="David" w:eastAsia="Calibri" w:hAnsi="David"/>
          <w:b/>
          <w:bCs/>
          <w:noProof w:val="0"/>
          <w:rtl/>
        </w:rPr>
        <w:t>מכירת הדירה</w:t>
      </w:r>
      <w:r w:rsidR="00E34603" w:rsidRPr="00E34603">
        <w:rPr>
          <w:rFonts w:ascii="David" w:eastAsia="Calibri" w:hAnsi="David"/>
          <w:noProof w:val="0"/>
          <w:rtl/>
        </w:rPr>
        <w:t xml:space="preserve"> </w:t>
      </w:r>
      <w:r w:rsidR="00035F81">
        <w:rPr>
          <w:rFonts w:ascii="David" w:eastAsia="Calibri" w:hAnsi="David" w:hint="cs"/>
          <w:noProof w:val="0"/>
          <w:rtl/>
        </w:rPr>
        <w:t>ב-</w:t>
      </w:r>
      <w:r w:rsidR="00035F81">
        <w:rPr>
          <w:rFonts w:ascii="David" w:eastAsia="Calibri" w:hAnsi="David" w:hint="cs"/>
          <w:noProof w:val="0"/>
        </w:rPr>
        <w:t>Y</w:t>
      </w:r>
      <w:r w:rsidR="00E34603" w:rsidRPr="00E34603">
        <w:rPr>
          <w:rFonts w:ascii="David" w:eastAsia="Calibri" w:hAnsi="David"/>
          <w:noProof w:val="0"/>
          <w:rtl/>
        </w:rPr>
        <w:t xml:space="preserve"> </w:t>
      </w:r>
      <w:r w:rsidR="00E34603" w:rsidRPr="00E34603">
        <w:rPr>
          <w:rFonts w:ascii="David" w:eastAsia="Calibri" w:hAnsi="David"/>
          <w:b/>
          <w:bCs/>
          <w:noProof w:val="0"/>
          <w:rtl/>
        </w:rPr>
        <w:t>רק לאחר פטירת בן הזוג</w:t>
      </w:r>
      <w:r w:rsidR="00E34603" w:rsidRPr="00E34603">
        <w:rPr>
          <w:rFonts w:ascii="David" w:eastAsia="Calibri" w:hAnsi="David"/>
          <w:noProof w:val="0"/>
          <w:rtl/>
        </w:rPr>
        <w:t xml:space="preserve"> שנותר בחיים (סעיף 6 </w:t>
      </w:r>
      <w:r w:rsidR="00C70226">
        <w:rPr>
          <w:rFonts w:ascii="David" w:eastAsia="Calibri" w:hAnsi="David"/>
          <w:noProof w:val="0"/>
          <w:rtl/>
        </w:rPr>
        <w:t>סיפה</w:t>
      </w:r>
      <w:r w:rsidR="00E34603" w:rsidRPr="00E34603">
        <w:rPr>
          <w:rFonts w:ascii="David" w:eastAsia="Calibri" w:hAnsi="David"/>
          <w:noProof w:val="0"/>
          <w:rtl/>
        </w:rPr>
        <w:t xml:space="preserve"> לצוואה); הסדר בצוואה לטובת </w:t>
      </w:r>
      <w:r w:rsidR="00E34603" w:rsidRPr="00E34603">
        <w:rPr>
          <w:rFonts w:ascii="David" w:eastAsia="Calibri" w:hAnsi="David"/>
          <w:b/>
          <w:bCs/>
          <w:noProof w:val="0"/>
          <w:rtl/>
        </w:rPr>
        <w:t>בתם החסויה</w:t>
      </w:r>
      <w:r w:rsidR="00E34603" w:rsidRPr="00E34603">
        <w:rPr>
          <w:rFonts w:ascii="David" w:eastAsia="Calibri" w:hAnsi="David"/>
          <w:noProof w:val="0"/>
          <w:rtl/>
        </w:rPr>
        <w:t xml:space="preserve"> (ה</w:t>
      </w:r>
      <w:r w:rsidR="00C70226">
        <w:rPr>
          <w:rFonts w:ascii="David" w:eastAsia="Calibri" w:hAnsi="David"/>
          <w:noProof w:val="0"/>
          <w:rtl/>
        </w:rPr>
        <w:t>סיפה</w:t>
      </w:r>
      <w:r w:rsidR="00E34603" w:rsidRPr="00E34603">
        <w:rPr>
          <w:rFonts w:ascii="David" w:eastAsia="Calibri" w:hAnsi="David"/>
          <w:noProof w:val="0"/>
          <w:rtl/>
        </w:rPr>
        <w:t xml:space="preserve"> לסעיף 5 לצוואה).</w:t>
      </w:r>
    </w:p>
    <w:p w:rsidR="00E34603" w:rsidRPr="00E34603" w:rsidRDefault="00E34603" w:rsidP="00E34603">
      <w:pPr>
        <w:spacing w:after="160" w:line="256" w:lineRule="auto"/>
        <w:ind w:left="720"/>
        <w:contextualSpacing/>
        <w:rPr>
          <w:rFonts w:ascii="David" w:eastAsia="Calibri" w:hAnsi="David"/>
          <w:noProof w:val="0"/>
        </w:rPr>
      </w:pPr>
    </w:p>
    <w:p w:rsidR="00E34603" w:rsidRPr="00E34603" w:rsidRDefault="00E34603" w:rsidP="00D54B5B">
      <w:pPr>
        <w:numPr>
          <w:ilvl w:val="0"/>
          <w:numId w:val="4"/>
        </w:numPr>
        <w:spacing w:after="160" w:line="360" w:lineRule="auto"/>
        <w:ind w:left="368"/>
        <w:contextualSpacing/>
        <w:jc w:val="both"/>
        <w:rPr>
          <w:rFonts w:ascii="David" w:eastAsia="Calibri" w:hAnsi="David"/>
          <w:noProof w:val="0"/>
          <w:rtl/>
        </w:rPr>
      </w:pPr>
      <w:r w:rsidRPr="00E34603">
        <w:rPr>
          <w:rFonts w:ascii="David" w:eastAsia="Calibri" w:hAnsi="David"/>
          <w:noProof w:val="0"/>
          <w:rtl/>
        </w:rPr>
        <w:t xml:space="preserve">עוד נטען כי על הצוואה המבטלת משנת 2015 חל הדין שהיה בעת עריכתה, היינו סעיף 8א(ב)(2)(ב) </w:t>
      </w:r>
      <w:r w:rsidR="00D54B5B">
        <w:rPr>
          <w:rFonts w:ascii="David" w:eastAsia="Calibri" w:hAnsi="David" w:hint="cs"/>
          <w:noProof w:val="0"/>
          <w:rtl/>
        </w:rPr>
        <w:t xml:space="preserve">לחוק הירושה, </w:t>
      </w:r>
      <w:r w:rsidRPr="00E34603">
        <w:rPr>
          <w:rFonts w:ascii="David" w:eastAsia="Calibri" w:hAnsi="David"/>
          <w:noProof w:val="0"/>
          <w:rtl/>
        </w:rPr>
        <w:t xml:space="preserve">ולפיכך שינוי מצוואה הדדית לאחר פטירת בן הזוג וחלוקת העיזבון, יכול היה להיעשות רק בתנאי הסעיף האמור, דהיינו- על ידי </w:t>
      </w:r>
      <w:r w:rsidRPr="00E34603">
        <w:rPr>
          <w:rFonts w:ascii="David" w:eastAsia="Calibri" w:hAnsi="David"/>
          <w:b/>
          <w:bCs/>
          <w:noProof w:val="0"/>
          <w:rtl/>
        </w:rPr>
        <w:t xml:space="preserve">השבה </w:t>
      </w:r>
      <w:r w:rsidRPr="00E34603">
        <w:rPr>
          <w:rFonts w:ascii="David" w:eastAsia="Calibri" w:hAnsi="David"/>
          <w:noProof w:val="0"/>
          <w:rtl/>
        </w:rPr>
        <w:t>של מה שהתקבל בצוואת 2005.</w:t>
      </w:r>
    </w:p>
    <w:p w:rsidR="00E34603" w:rsidRPr="00E34603" w:rsidRDefault="00E34603" w:rsidP="00E34603">
      <w:pPr>
        <w:spacing w:line="360" w:lineRule="auto"/>
        <w:ind w:left="368"/>
        <w:jc w:val="both"/>
        <w:rPr>
          <w:rFonts w:ascii="David" w:eastAsia="Calibri" w:hAnsi="David"/>
          <w:b/>
          <w:bCs/>
          <w:noProof w:val="0"/>
        </w:rPr>
      </w:pPr>
    </w:p>
    <w:p w:rsidR="00E34603" w:rsidRPr="0092405F" w:rsidRDefault="00E34603" w:rsidP="00F272CD">
      <w:pPr>
        <w:spacing w:after="160" w:line="360" w:lineRule="auto"/>
        <w:contextualSpacing/>
        <w:jc w:val="both"/>
        <w:rPr>
          <w:rFonts w:ascii="David" w:eastAsia="Calibri" w:hAnsi="David"/>
          <w:b/>
          <w:bCs/>
          <w:noProof w:val="0"/>
          <w:rtl/>
        </w:rPr>
      </w:pPr>
      <w:r w:rsidRPr="00E34603">
        <w:rPr>
          <w:rFonts w:ascii="David" w:eastAsia="Calibri" w:hAnsi="David"/>
          <w:b/>
          <w:bCs/>
          <w:noProof w:val="0"/>
          <w:rtl/>
        </w:rPr>
        <w:t xml:space="preserve">טענות המבקשות- </w:t>
      </w:r>
      <w:r w:rsidR="00F272CD">
        <w:rPr>
          <w:rFonts w:ascii="David" w:eastAsia="Calibri" w:hAnsi="David" w:hint="cs"/>
          <w:b/>
          <w:bCs/>
          <w:noProof w:val="0"/>
          <w:rtl/>
        </w:rPr>
        <w:t>צ' וס' מ'</w:t>
      </w:r>
      <w:r w:rsidRPr="00E34603">
        <w:rPr>
          <w:rFonts w:ascii="David" w:eastAsia="Calibri" w:hAnsi="David"/>
          <w:b/>
          <w:bCs/>
          <w:noProof w:val="0"/>
          <w:rtl/>
        </w:rPr>
        <w:t xml:space="preserve"> </w:t>
      </w:r>
    </w:p>
    <w:p w:rsidR="00E34603" w:rsidRPr="00E34603" w:rsidRDefault="00E34603" w:rsidP="00E34603">
      <w:pPr>
        <w:spacing w:after="160" w:line="256" w:lineRule="auto"/>
        <w:ind w:left="368"/>
        <w:contextualSpacing/>
        <w:jc w:val="both"/>
        <w:rPr>
          <w:rFonts w:ascii="David" w:eastAsia="Calibri" w:hAnsi="David"/>
          <w:noProof w:val="0"/>
          <w:rtl/>
        </w:rPr>
      </w:pPr>
    </w:p>
    <w:p w:rsidR="004F4CB6" w:rsidRPr="004F4CB6" w:rsidRDefault="00E34603" w:rsidP="00F272CD">
      <w:pPr>
        <w:numPr>
          <w:ilvl w:val="0"/>
          <w:numId w:val="4"/>
        </w:numPr>
        <w:spacing w:after="160" w:line="360" w:lineRule="auto"/>
        <w:ind w:left="368"/>
        <w:contextualSpacing/>
        <w:jc w:val="both"/>
        <w:rPr>
          <w:rFonts w:ascii="David" w:eastAsia="Calibri" w:hAnsi="David"/>
          <w:noProof w:val="0"/>
          <w:rtl/>
        </w:rPr>
      </w:pPr>
      <w:r w:rsidRPr="004F4CB6">
        <w:rPr>
          <w:rFonts w:ascii="David" w:eastAsia="Calibri" w:hAnsi="David"/>
          <w:noProof w:val="0"/>
          <w:rtl/>
        </w:rPr>
        <w:t xml:space="preserve">בנות המנוחה, </w:t>
      </w:r>
      <w:r w:rsidRPr="00A57AC8">
        <w:rPr>
          <w:rFonts w:ascii="David" w:eastAsia="Calibri" w:hAnsi="David"/>
          <w:noProof w:val="0"/>
          <w:rtl/>
        </w:rPr>
        <w:t>שאינן מיוצגות בעת הזו,</w:t>
      </w:r>
      <w:r w:rsidRPr="004F4CB6">
        <w:rPr>
          <w:rFonts w:ascii="David" w:eastAsia="Calibri" w:hAnsi="David"/>
          <w:noProof w:val="0"/>
          <w:rtl/>
        </w:rPr>
        <w:t xml:space="preserve"> שבו על טעמי התנגדותן לצוואה המאוחרת וטענו כי זו נערכה בהשפעה בלתי הוגנת מצד אחיהם, כאשר אמם אינה עצמאית, לא יודעת קרוא וכתוב, וספק גדול אם ידעה להבחין בטיבה של הצוואה והשלכותיה. הצוואה המאוחרת משקפת קנוניה מצד המשיב להשתלט על נכסי המנוחה תוך ניצול לרעה את האמון והקרבה הרגשית של המנוחה אליו</w:t>
      </w:r>
      <w:r w:rsidR="00A57AC8">
        <w:rPr>
          <w:rFonts w:ascii="David" w:eastAsia="Calibri" w:hAnsi="David" w:hint="cs"/>
          <w:noProof w:val="0"/>
          <w:rtl/>
        </w:rPr>
        <w:t>;</w:t>
      </w:r>
      <w:r w:rsidRPr="004F4CB6">
        <w:rPr>
          <w:rFonts w:ascii="David" w:eastAsia="Calibri" w:hAnsi="David"/>
          <w:noProof w:val="0"/>
          <w:rtl/>
        </w:rPr>
        <w:t xml:space="preserve"> לפיכך עתרו לקיזוז הכספים שנטלו לעצמם המשיב </w:t>
      </w:r>
      <w:r w:rsidR="00F272CD">
        <w:rPr>
          <w:rFonts w:ascii="David" w:eastAsia="Calibri" w:hAnsi="David" w:hint="cs"/>
          <w:noProof w:val="0"/>
          <w:rtl/>
        </w:rPr>
        <w:t>ונ'</w:t>
      </w:r>
      <w:r w:rsidR="004F4CB6" w:rsidRPr="004F4CB6">
        <w:rPr>
          <w:rFonts w:ascii="David" w:eastAsia="Calibri" w:hAnsi="David"/>
          <w:noProof w:val="0"/>
          <w:rtl/>
        </w:rPr>
        <w:t xml:space="preserve"> (אחותם) מקופת העיזבון</w:t>
      </w:r>
      <w:r w:rsidR="004F4CB6" w:rsidRPr="004F4CB6">
        <w:rPr>
          <w:rFonts w:ascii="David" w:eastAsia="Calibri" w:hAnsi="David" w:hint="cs"/>
          <w:noProof w:val="0"/>
          <w:rtl/>
        </w:rPr>
        <w:t xml:space="preserve"> - טענות אלו, </w:t>
      </w:r>
      <w:r w:rsidR="006B28B5">
        <w:rPr>
          <w:rFonts w:ascii="David" w:eastAsia="Calibri" w:hAnsi="David" w:hint="cs"/>
          <w:noProof w:val="0"/>
          <w:rtl/>
        </w:rPr>
        <w:t xml:space="preserve">כאמור, </w:t>
      </w:r>
      <w:r w:rsidR="004F4CB6" w:rsidRPr="006B28B5">
        <w:rPr>
          <w:rFonts w:ascii="David" w:eastAsia="Calibri" w:hAnsi="David" w:hint="cs"/>
          <w:b/>
          <w:bCs/>
          <w:noProof w:val="0"/>
          <w:rtl/>
        </w:rPr>
        <w:t>אינן רלוונטיות</w:t>
      </w:r>
      <w:r w:rsidR="004F4CB6" w:rsidRPr="004F4CB6">
        <w:rPr>
          <w:rFonts w:ascii="David" w:eastAsia="Calibri" w:hAnsi="David" w:hint="cs"/>
          <w:noProof w:val="0"/>
          <w:rtl/>
        </w:rPr>
        <w:t xml:space="preserve"> לסוגייה </w:t>
      </w:r>
      <w:r w:rsidR="006B28B5">
        <w:rPr>
          <w:rFonts w:ascii="David" w:eastAsia="Calibri" w:hAnsi="David" w:hint="cs"/>
          <w:noProof w:val="0"/>
          <w:rtl/>
        </w:rPr>
        <w:t xml:space="preserve">המקדמית </w:t>
      </w:r>
      <w:r w:rsidR="004F4CB6" w:rsidRPr="004F4CB6">
        <w:rPr>
          <w:rFonts w:ascii="David" w:eastAsia="Calibri" w:hAnsi="David" w:hint="cs"/>
          <w:noProof w:val="0"/>
          <w:rtl/>
        </w:rPr>
        <w:t>בה עסקינן</w:t>
      </w:r>
      <w:r w:rsidR="004F4CB6">
        <w:rPr>
          <w:rFonts w:ascii="David" w:eastAsia="Calibri" w:hAnsi="David" w:hint="cs"/>
          <w:noProof w:val="0"/>
          <w:rtl/>
        </w:rPr>
        <w:t>.</w:t>
      </w:r>
    </w:p>
    <w:p w:rsidR="00E34603" w:rsidRPr="00E34603" w:rsidRDefault="00E34603" w:rsidP="00E34603">
      <w:pPr>
        <w:spacing w:line="360" w:lineRule="auto"/>
        <w:ind w:left="368"/>
        <w:contextualSpacing/>
        <w:jc w:val="both"/>
        <w:rPr>
          <w:rFonts w:ascii="David" w:eastAsia="Calibri" w:hAnsi="David"/>
          <w:noProof w:val="0"/>
        </w:rPr>
      </w:pPr>
    </w:p>
    <w:p w:rsidR="00E34603" w:rsidRPr="00E34603" w:rsidRDefault="00E34603" w:rsidP="00F272CD">
      <w:pPr>
        <w:numPr>
          <w:ilvl w:val="0"/>
          <w:numId w:val="4"/>
        </w:numPr>
        <w:spacing w:after="160" w:line="360" w:lineRule="auto"/>
        <w:ind w:left="368"/>
        <w:contextualSpacing/>
        <w:jc w:val="both"/>
        <w:rPr>
          <w:rFonts w:ascii="David" w:eastAsia="Calibri" w:hAnsi="David"/>
          <w:noProof w:val="0"/>
        </w:rPr>
      </w:pPr>
      <w:r w:rsidRPr="006B28B5">
        <w:rPr>
          <w:rFonts w:ascii="David" w:eastAsia="Calibri" w:hAnsi="David"/>
          <w:noProof w:val="0"/>
          <w:rtl/>
        </w:rPr>
        <w:t>לגופה של השאלה המקדמית שבמחלוקת</w:t>
      </w:r>
      <w:r w:rsidRPr="00E34603">
        <w:rPr>
          <w:rFonts w:ascii="David" w:eastAsia="Calibri" w:hAnsi="David"/>
          <w:noProof w:val="0"/>
          <w:rtl/>
        </w:rPr>
        <w:t xml:space="preserve"> - טענו האחיות</w:t>
      </w:r>
      <w:r w:rsidR="00F272CD">
        <w:rPr>
          <w:rFonts w:ascii="David" w:eastAsia="Calibri" w:hAnsi="David" w:hint="cs"/>
          <w:noProof w:val="0"/>
          <w:rtl/>
        </w:rPr>
        <w:t xml:space="preserve"> (המבקשות)</w:t>
      </w:r>
      <w:r w:rsidRPr="00E34603">
        <w:rPr>
          <w:rFonts w:ascii="David" w:eastAsia="Calibri" w:hAnsi="David"/>
          <w:noProof w:val="0"/>
          <w:rtl/>
        </w:rPr>
        <w:t xml:space="preserve"> </w:t>
      </w:r>
      <w:r w:rsidR="00F272CD">
        <w:rPr>
          <w:rFonts w:ascii="David" w:eastAsia="Calibri" w:hAnsi="David" w:hint="cs"/>
          <w:noProof w:val="0"/>
          <w:rtl/>
        </w:rPr>
        <w:t>...</w:t>
      </w:r>
      <w:r w:rsidRPr="00E34603">
        <w:rPr>
          <w:rFonts w:ascii="David" w:eastAsia="Calibri" w:hAnsi="David"/>
          <w:noProof w:val="0"/>
          <w:rtl/>
        </w:rPr>
        <w:t xml:space="preserve"> כי צוואת 2005 מהווה צוואה הדדית כמשמעותה בסעיף </w:t>
      </w:r>
      <w:r w:rsidR="006B28B5">
        <w:rPr>
          <w:rFonts w:ascii="David" w:eastAsia="Calibri" w:hAnsi="David"/>
          <w:noProof w:val="0"/>
          <w:rtl/>
        </w:rPr>
        <w:t>8א</w:t>
      </w:r>
      <w:r w:rsidRPr="00E34603">
        <w:rPr>
          <w:rFonts w:ascii="David" w:eastAsia="Calibri" w:hAnsi="David"/>
          <w:noProof w:val="0"/>
          <w:rtl/>
        </w:rPr>
        <w:t xml:space="preserve"> לחוק הירושה ומאחר והיא לא בוטלה מעולם על ידי המנוחה על פי סעיף 8א(ב)(2)(א) לחוק הרי היא עומדת בתוקפה ויש להורות על קיומה.</w:t>
      </w:r>
    </w:p>
    <w:p w:rsidR="00E34603" w:rsidRPr="00E34603" w:rsidRDefault="00E34603" w:rsidP="00E34603">
      <w:pPr>
        <w:spacing w:line="360" w:lineRule="auto"/>
        <w:ind w:left="368"/>
        <w:contextualSpacing/>
        <w:jc w:val="both"/>
        <w:rPr>
          <w:rFonts w:ascii="David" w:eastAsia="Calibri" w:hAnsi="David"/>
          <w:noProof w:val="0"/>
        </w:rPr>
      </w:pPr>
    </w:p>
    <w:p w:rsidR="00E34603" w:rsidRPr="00E34603" w:rsidRDefault="00E34603" w:rsidP="00F272CD">
      <w:pPr>
        <w:spacing w:after="160" w:line="360" w:lineRule="auto"/>
        <w:contextualSpacing/>
        <w:jc w:val="both"/>
        <w:rPr>
          <w:rFonts w:ascii="David" w:eastAsia="Calibri" w:hAnsi="David"/>
          <w:b/>
          <w:bCs/>
          <w:noProof w:val="0"/>
          <w:rtl/>
        </w:rPr>
      </w:pPr>
      <w:r w:rsidRPr="00E34603">
        <w:rPr>
          <w:rFonts w:ascii="David" w:eastAsia="Calibri" w:hAnsi="David"/>
          <w:b/>
          <w:bCs/>
          <w:noProof w:val="0"/>
          <w:rtl/>
        </w:rPr>
        <w:t xml:space="preserve">טענות </w:t>
      </w:r>
      <w:r w:rsidR="004F4CB6">
        <w:rPr>
          <w:rFonts w:ascii="David" w:eastAsia="Calibri" w:hAnsi="David" w:hint="cs"/>
          <w:b/>
          <w:bCs/>
          <w:noProof w:val="0"/>
          <w:rtl/>
        </w:rPr>
        <w:t xml:space="preserve">המשיב </w:t>
      </w:r>
      <w:r w:rsidR="00F272CD">
        <w:rPr>
          <w:rFonts w:ascii="David" w:eastAsia="Calibri" w:hAnsi="David" w:hint="cs"/>
          <w:b/>
          <w:bCs/>
          <w:noProof w:val="0"/>
          <w:rtl/>
        </w:rPr>
        <w:t>א.ל.</w:t>
      </w:r>
    </w:p>
    <w:p w:rsidR="00E34603" w:rsidRPr="00E34603" w:rsidRDefault="00E34603" w:rsidP="00E34603">
      <w:pPr>
        <w:spacing w:line="360" w:lineRule="auto"/>
        <w:ind w:left="368"/>
        <w:jc w:val="both"/>
        <w:rPr>
          <w:rFonts w:ascii="David" w:eastAsia="Calibri" w:hAnsi="David"/>
          <w:b/>
          <w:bCs/>
          <w:noProof w:val="0"/>
          <w:rtl/>
        </w:rPr>
      </w:pPr>
    </w:p>
    <w:p w:rsidR="00E34603" w:rsidRPr="00E34603" w:rsidRDefault="00E34603" w:rsidP="00E34603">
      <w:pPr>
        <w:numPr>
          <w:ilvl w:val="0"/>
          <w:numId w:val="4"/>
        </w:numPr>
        <w:spacing w:after="160" w:line="360" w:lineRule="auto"/>
        <w:ind w:left="368"/>
        <w:contextualSpacing/>
        <w:jc w:val="both"/>
        <w:rPr>
          <w:rFonts w:ascii="David" w:eastAsia="Calibri" w:hAnsi="David"/>
          <w:noProof w:val="0"/>
          <w:rtl/>
        </w:rPr>
      </w:pPr>
      <w:r w:rsidRPr="00E34603">
        <w:rPr>
          <w:rFonts w:ascii="David" w:eastAsia="Calibri" w:hAnsi="David"/>
          <w:noProof w:val="0"/>
          <w:rtl/>
        </w:rPr>
        <w:t xml:space="preserve">המשיב טען כי אין מחלוקת שהצוואה ההדדית נערכה </w:t>
      </w:r>
      <w:r w:rsidRPr="00E34603">
        <w:rPr>
          <w:rFonts w:ascii="David" w:eastAsia="Calibri" w:hAnsi="David"/>
          <w:b/>
          <w:bCs/>
          <w:noProof w:val="0"/>
          <w:rtl/>
        </w:rPr>
        <w:t>קודם לתיקון</w:t>
      </w:r>
      <w:r w:rsidRPr="00E34603">
        <w:rPr>
          <w:rFonts w:ascii="David" w:eastAsia="Calibri" w:hAnsi="David"/>
          <w:noProof w:val="0"/>
          <w:rtl/>
        </w:rPr>
        <w:t xml:space="preserve"> </w:t>
      </w:r>
      <w:r w:rsidRPr="00E34603">
        <w:rPr>
          <w:rFonts w:ascii="David" w:eastAsia="Calibri" w:hAnsi="David"/>
          <w:b/>
          <w:bCs/>
          <w:noProof w:val="0"/>
          <w:rtl/>
        </w:rPr>
        <w:t>12</w:t>
      </w:r>
      <w:r w:rsidRPr="00E34603">
        <w:rPr>
          <w:rFonts w:ascii="David" w:eastAsia="Calibri" w:hAnsi="David"/>
          <w:noProof w:val="0"/>
          <w:rtl/>
        </w:rPr>
        <w:t xml:space="preserve"> לחוק הירושה ועל פי סעיף 2 לתיקון, אין לו כל תחולה בנסיבות דנן, והדבר נקבע מפורשות גם בפסיקה; לפיכך ברי כי המנוחה </w:t>
      </w:r>
      <w:r w:rsidRPr="00E34603">
        <w:rPr>
          <w:rFonts w:ascii="David" w:eastAsia="Calibri" w:hAnsi="David"/>
          <w:b/>
          <w:bCs/>
          <w:noProof w:val="0"/>
          <w:rtl/>
        </w:rPr>
        <w:t>יכולה הייתה לשנות את צוואתה</w:t>
      </w:r>
      <w:r w:rsidR="004F4CB6">
        <w:rPr>
          <w:rFonts w:ascii="David" w:eastAsia="Calibri" w:hAnsi="David" w:hint="cs"/>
          <w:b/>
          <w:bCs/>
          <w:noProof w:val="0"/>
          <w:rtl/>
        </w:rPr>
        <w:t xml:space="preserve"> בכל עת</w:t>
      </w:r>
      <w:r w:rsidRPr="00E34603">
        <w:rPr>
          <w:rFonts w:ascii="David" w:eastAsia="Calibri" w:hAnsi="David"/>
          <w:noProof w:val="0"/>
          <w:rtl/>
        </w:rPr>
        <w:t xml:space="preserve"> ולערוך צוואתה החדשה משנת 2015.</w:t>
      </w:r>
    </w:p>
    <w:p w:rsidR="00E34603" w:rsidRPr="00E34603" w:rsidRDefault="00E34603" w:rsidP="00E34603">
      <w:pPr>
        <w:spacing w:line="360" w:lineRule="auto"/>
        <w:ind w:left="368"/>
        <w:contextualSpacing/>
        <w:jc w:val="both"/>
        <w:rPr>
          <w:rFonts w:ascii="David" w:eastAsia="Calibri" w:hAnsi="David"/>
          <w:noProof w:val="0"/>
        </w:rPr>
      </w:pPr>
    </w:p>
    <w:p w:rsidR="00E34603" w:rsidRPr="00E34603" w:rsidRDefault="00F272CD" w:rsidP="004F4CB6">
      <w:pPr>
        <w:numPr>
          <w:ilvl w:val="0"/>
          <w:numId w:val="4"/>
        </w:numPr>
        <w:spacing w:after="160" w:line="360" w:lineRule="auto"/>
        <w:ind w:left="368"/>
        <w:contextualSpacing/>
        <w:jc w:val="both"/>
        <w:rPr>
          <w:rFonts w:ascii="David" w:eastAsia="Calibri" w:hAnsi="David"/>
          <w:noProof w:val="0"/>
        </w:rPr>
      </w:pPr>
      <w:r>
        <w:rPr>
          <w:rFonts w:ascii="David" w:eastAsia="Calibri" w:hAnsi="David" w:hint="cs"/>
          <w:noProof w:val="0"/>
          <w:rtl/>
        </w:rPr>
        <w:lastRenderedPageBreak/>
        <w:t>לטענתו,</w:t>
      </w:r>
      <w:r w:rsidR="00E34603" w:rsidRPr="00E34603">
        <w:rPr>
          <w:rFonts w:ascii="David" w:eastAsia="Calibri" w:hAnsi="David"/>
          <w:noProof w:val="0"/>
          <w:rtl/>
        </w:rPr>
        <w:t xml:space="preserve"> סעיף 11 לצוואה ההדדית אך מחזק את היכולת של המנוחה לשנות את צוואתה משנת 2005 שהרי לשון הטקסט ברורה והיא מורה מפורשות על כך שהמצווים שמרו לעצמם את הזכות </w:t>
      </w:r>
      <w:r w:rsidR="00E34603" w:rsidRPr="004F4CB6">
        <w:rPr>
          <w:rFonts w:ascii="David" w:eastAsia="Calibri" w:hAnsi="David"/>
          <w:noProof w:val="0"/>
          <w:rtl/>
        </w:rPr>
        <w:t>לשנות או לבטל את הצוואה כולה או מקצתה, ביחד או כל אחד מהם לחוד, בכל עת באופן חופשי</w:t>
      </w:r>
      <w:r w:rsidR="00E34603" w:rsidRPr="00E34603">
        <w:rPr>
          <w:rFonts w:ascii="David" w:eastAsia="Calibri" w:hAnsi="David"/>
          <w:noProof w:val="0"/>
          <w:rtl/>
        </w:rPr>
        <w:t xml:space="preserve"> וללא הגבלה, וזאת </w:t>
      </w:r>
      <w:r w:rsidR="00E34603" w:rsidRPr="00E34603">
        <w:rPr>
          <w:rFonts w:ascii="David" w:eastAsia="Calibri" w:hAnsi="David"/>
          <w:b/>
          <w:bCs/>
          <w:noProof w:val="0"/>
          <w:rtl/>
        </w:rPr>
        <w:t>בהתאם לדין החל באותה עת</w:t>
      </w:r>
      <w:r w:rsidR="00E34603" w:rsidRPr="00E34603">
        <w:rPr>
          <w:rFonts w:ascii="David" w:eastAsia="Calibri" w:hAnsi="David"/>
          <w:noProof w:val="0"/>
          <w:rtl/>
        </w:rPr>
        <w:t xml:space="preserve"> לפיו עקרון היסוד בדיני צוואות הוא כוחו של המצווה לשנות מצוואתו מתי וכפי שיחפוץ.</w:t>
      </w:r>
    </w:p>
    <w:p w:rsidR="00E34603" w:rsidRPr="00E34603" w:rsidRDefault="00E34603" w:rsidP="00E34603">
      <w:pPr>
        <w:spacing w:after="160" w:line="256" w:lineRule="auto"/>
        <w:ind w:left="368"/>
        <w:contextualSpacing/>
        <w:rPr>
          <w:rFonts w:ascii="David" w:eastAsia="Calibri" w:hAnsi="David"/>
          <w:noProof w:val="0"/>
        </w:rPr>
      </w:pPr>
    </w:p>
    <w:p w:rsidR="00E34603" w:rsidRPr="00E34603" w:rsidRDefault="00E34603" w:rsidP="00E34603">
      <w:pPr>
        <w:numPr>
          <w:ilvl w:val="0"/>
          <w:numId w:val="4"/>
        </w:numPr>
        <w:spacing w:after="160" w:line="360" w:lineRule="auto"/>
        <w:ind w:left="368"/>
        <w:contextualSpacing/>
        <w:jc w:val="both"/>
        <w:rPr>
          <w:rFonts w:ascii="David" w:eastAsia="Calibri" w:hAnsi="David"/>
          <w:noProof w:val="0"/>
          <w:rtl/>
        </w:rPr>
      </w:pPr>
      <w:r w:rsidRPr="00E34603">
        <w:rPr>
          <w:rFonts w:ascii="David" w:eastAsia="Calibri" w:hAnsi="David"/>
          <w:noProof w:val="0"/>
          <w:rtl/>
        </w:rPr>
        <w:t xml:space="preserve">לדבריו אין כל מקום לקרוא לצוואה תכנים שאינם מוצאים ביטוי בטקסט ובכל מקרה כאשר נדרשים אנו לפרש את הוראת סעיף 11 לצוואה יש לבחון את </w:t>
      </w:r>
      <w:r w:rsidRPr="00E34603">
        <w:rPr>
          <w:rFonts w:ascii="David" w:eastAsia="Calibri" w:hAnsi="David"/>
          <w:b/>
          <w:bCs/>
          <w:noProof w:val="0"/>
          <w:rtl/>
        </w:rPr>
        <w:t>אומד דעת המצווים</w:t>
      </w:r>
      <w:r w:rsidRPr="00E34603">
        <w:rPr>
          <w:rFonts w:ascii="David" w:eastAsia="Calibri" w:hAnsi="David"/>
          <w:noProof w:val="0"/>
          <w:rtl/>
        </w:rPr>
        <w:t xml:space="preserve"> </w:t>
      </w:r>
      <w:r w:rsidRPr="00E34603">
        <w:rPr>
          <w:rFonts w:ascii="David" w:eastAsia="Calibri" w:hAnsi="David"/>
          <w:b/>
          <w:bCs/>
          <w:noProof w:val="0"/>
          <w:rtl/>
        </w:rPr>
        <w:t>בהתאם לדין שהיה בעת עריכתה</w:t>
      </w:r>
      <w:r w:rsidRPr="00E34603">
        <w:rPr>
          <w:rFonts w:ascii="David" w:eastAsia="Calibri" w:hAnsi="David"/>
          <w:noProof w:val="0"/>
          <w:rtl/>
        </w:rPr>
        <w:t>, כפי שנקבע בפסיקה (עמ"ש 36694-10-16).</w:t>
      </w:r>
    </w:p>
    <w:p w:rsidR="00E34603" w:rsidRPr="00E34603" w:rsidRDefault="00E34603" w:rsidP="00E34603">
      <w:pPr>
        <w:spacing w:after="160" w:line="256" w:lineRule="auto"/>
        <w:ind w:left="368"/>
        <w:contextualSpacing/>
        <w:rPr>
          <w:rFonts w:ascii="David" w:eastAsia="Calibri" w:hAnsi="David"/>
          <w:noProof w:val="0"/>
        </w:rPr>
      </w:pPr>
    </w:p>
    <w:p w:rsidR="00E34603" w:rsidRPr="00E34603" w:rsidRDefault="00E34603" w:rsidP="00E34603">
      <w:pPr>
        <w:numPr>
          <w:ilvl w:val="0"/>
          <w:numId w:val="4"/>
        </w:numPr>
        <w:spacing w:after="160" w:line="360" w:lineRule="auto"/>
        <w:ind w:left="368"/>
        <w:contextualSpacing/>
        <w:jc w:val="both"/>
        <w:rPr>
          <w:rFonts w:ascii="David" w:eastAsia="Calibri" w:hAnsi="David"/>
          <w:noProof w:val="0"/>
          <w:rtl/>
        </w:rPr>
      </w:pPr>
      <w:r w:rsidRPr="00E34603">
        <w:rPr>
          <w:rFonts w:ascii="David" w:eastAsia="Calibri" w:hAnsi="David"/>
          <w:noProof w:val="0"/>
          <w:rtl/>
        </w:rPr>
        <w:t xml:space="preserve">הפרשנות של המבקשות בנוגע לסעיף 11 לצוואה היא מוטעית ומגמתית, ובניגוד לטענתן סעיף 11 לא נועד כלל להגביל את שינוי או ביטול הצוואה; </w:t>
      </w:r>
      <w:r w:rsidRPr="00E34603">
        <w:rPr>
          <w:rFonts w:ascii="David" w:eastAsia="Calibri" w:hAnsi="David"/>
          <w:b/>
          <w:bCs/>
          <w:noProof w:val="0"/>
          <w:rtl/>
        </w:rPr>
        <w:t>נהפוך הוא</w:t>
      </w:r>
      <w:r w:rsidRPr="00E34603">
        <w:rPr>
          <w:rFonts w:ascii="David" w:eastAsia="Calibri" w:hAnsi="David"/>
          <w:noProof w:val="0"/>
          <w:rtl/>
        </w:rPr>
        <w:t xml:space="preserve">, הוא </w:t>
      </w:r>
      <w:r w:rsidRPr="00E34603">
        <w:rPr>
          <w:rFonts w:ascii="David" w:eastAsia="Calibri" w:hAnsi="David"/>
          <w:b/>
          <w:bCs/>
          <w:noProof w:val="0"/>
          <w:rtl/>
        </w:rPr>
        <w:t>נועד לשמר את הזכות של המצווים לשנותה או לבטלה ללא כל הגבלה</w:t>
      </w:r>
      <w:r w:rsidRPr="00E34603">
        <w:rPr>
          <w:rFonts w:ascii="David" w:eastAsia="Calibri" w:hAnsi="David"/>
          <w:noProof w:val="0"/>
          <w:rtl/>
        </w:rPr>
        <w:t>.</w:t>
      </w:r>
    </w:p>
    <w:p w:rsidR="00E34603" w:rsidRPr="00E34603" w:rsidRDefault="00E34603" w:rsidP="00E34603">
      <w:pPr>
        <w:spacing w:after="160" w:line="256" w:lineRule="auto"/>
        <w:ind w:left="368"/>
        <w:contextualSpacing/>
        <w:rPr>
          <w:rFonts w:ascii="David" w:eastAsia="Calibri" w:hAnsi="David"/>
          <w:noProof w:val="0"/>
        </w:rPr>
      </w:pPr>
    </w:p>
    <w:p w:rsidR="00E34603" w:rsidRPr="004F4CB6" w:rsidRDefault="00E34603" w:rsidP="002C5F14">
      <w:pPr>
        <w:numPr>
          <w:ilvl w:val="0"/>
          <w:numId w:val="4"/>
        </w:numPr>
        <w:spacing w:after="160" w:line="360" w:lineRule="auto"/>
        <w:ind w:left="368"/>
        <w:contextualSpacing/>
        <w:jc w:val="both"/>
        <w:rPr>
          <w:rFonts w:ascii="David" w:eastAsia="Calibri" w:hAnsi="David"/>
          <w:noProof w:val="0"/>
          <w:rtl/>
        </w:rPr>
      </w:pPr>
      <w:r w:rsidRPr="004F4CB6">
        <w:rPr>
          <w:rFonts w:ascii="David" w:eastAsia="Calibri" w:hAnsi="David"/>
          <w:noProof w:val="0"/>
          <w:rtl/>
        </w:rPr>
        <w:t xml:space="preserve">בכל הנוגע </w:t>
      </w:r>
      <w:r w:rsidRPr="006B28B5">
        <w:rPr>
          <w:rFonts w:ascii="David" w:eastAsia="Calibri" w:hAnsi="David"/>
          <w:b/>
          <w:bCs/>
          <w:noProof w:val="0"/>
          <w:rtl/>
        </w:rPr>
        <w:t>ללשון הרבים</w:t>
      </w:r>
      <w:r w:rsidRPr="004F4CB6">
        <w:rPr>
          <w:rFonts w:ascii="David" w:eastAsia="Calibri" w:hAnsi="David"/>
          <w:noProof w:val="0"/>
          <w:rtl/>
        </w:rPr>
        <w:t xml:space="preserve"> בה מנוסח סעיף זה, הרי הדבר נעשה מטבע הדברים לנוכח העובדה כי </w:t>
      </w:r>
      <w:r w:rsidRPr="004F4CB6">
        <w:rPr>
          <w:rFonts w:ascii="David" w:eastAsia="Calibri" w:hAnsi="David"/>
          <w:b/>
          <w:bCs/>
          <w:noProof w:val="0"/>
          <w:rtl/>
        </w:rPr>
        <w:t>מדובר בצוואה של שני מצווים</w:t>
      </w:r>
      <w:r w:rsidRPr="004F4CB6">
        <w:rPr>
          <w:rFonts w:ascii="David" w:eastAsia="Calibri" w:hAnsi="David"/>
          <w:noProof w:val="0"/>
          <w:rtl/>
        </w:rPr>
        <w:t xml:space="preserve"> ואין בכך לשנות או להשפיע על הפרשנות של הסעיף שנועד לשמר את הזכות של המצווים, ביחד או לחוד, לשנות או לבטל הצוואה, </w:t>
      </w:r>
      <w:r w:rsidR="004F4CB6" w:rsidRPr="004F4CB6">
        <w:rPr>
          <w:rFonts w:ascii="David" w:eastAsia="Calibri" w:hAnsi="David"/>
          <w:noProof w:val="0"/>
          <w:rtl/>
        </w:rPr>
        <w:t>כולה או חלקה</w:t>
      </w:r>
      <w:r w:rsidR="004F4CB6" w:rsidRPr="004F4CB6">
        <w:rPr>
          <w:rFonts w:ascii="David" w:eastAsia="Calibri" w:hAnsi="David" w:hint="cs"/>
          <w:noProof w:val="0"/>
          <w:rtl/>
        </w:rPr>
        <w:t xml:space="preserve">; </w:t>
      </w:r>
      <w:r w:rsidRPr="004F4CB6">
        <w:rPr>
          <w:rFonts w:ascii="David" w:eastAsia="Calibri" w:hAnsi="David"/>
          <w:noProof w:val="0"/>
          <w:rtl/>
        </w:rPr>
        <w:t xml:space="preserve">לו רצו המנוחים להגביל את שינויה או ביטולה של הצוואה ההדדית באופן חד-צדדי היו קובעים זאת </w:t>
      </w:r>
      <w:r w:rsidRPr="004C4FEA">
        <w:rPr>
          <w:rFonts w:ascii="David" w:eastAsia="Calibri" w:hAnsi="David"/>
          <w:b/>
          <w:bCs/>
          <w:noProof w:val="0"/>
          <w:rtl/>
        </w:rPr>
        <w:t>בהוראה מפורשת</w:t>
      </w:r>
      <w:r w:rsidRPr="004F4CB6">
        <w:rPr>
          <w:rFonts w:ascii="David" w:eastAsia="Calibri" w:hAnsi="David"/>
          <w:noProof w:val="0"/>
          <w:rtl/>
        </w:rPr>
        <w:t xml:space="preserve"> בצוואתם.</w:t>
      </w:r>
    </w:p>
    <w:p w:rsidR="00E34603" w:rsidRPr="00E34603" w:rsidRDefault="00E34603" w:rsidP="00E34603">
      <w:pPr>
        <w:spacing w:after="160" w:line="256" w:lineRule="auto"/>
        <w:ind w:left="368"/>
        <w:contextualSpacing/>
        <w:rPr>
          <w:rFonts w:ascii="David" w:eastAsia="Calibri" w:hAnsi="David"/>
          <w:noProof w:val="0"/>
        </w:rPr>
      </w:pPr>
    </w:p>
    <w:p w:rsidR="00E34603" w:rsidRPr="00E34603" w:rsidRDefault="00E34603" w:rsidP="00E34603">
      <w:pPr>
        <w:numPr>
          <w:ilvl w:val="0"/>
          <w:numId w:val="4"/>
        </w:numPr>
        <w:spacing w:after="160" w:line="360" w:lineRule="auto"/>
        <w:ind w:left="368"/>
        <w:contextualSpacing/>
        <w:jc w:val="both"/>
        <w:rPr>
          <w:rFonts w:ascii="David" w:eastAsia="Calibri" w:hAnsi="David"/>
          <w:noProof w:val="0"/>
          <w:rtl/>
        </w:rPr>
      </w:pPr>
      <w:r w:rsidRPr="00E34603">
        <w:rPr>
          <w:rFonts w:ascii="David" w:eastAsia="Calibri" w:hAnsi="David"/>
          <w:noProof w:val="0"/>
          <w:rtl/>
        </w:rPr>
        <w:t>לאור האמור טען המשיב כי המנוחה רשאית הייתה לבטל את צוואתה ללא קשר לצוואת בעלה המנוח שכבר קוימה.</w:t>
      </w:r>
    </w:p>
    <w:p w:rsidR="00E34603" w:rsidRPr="00E34603" w:rsidRDefault="00E34603" w:rsidP="00E34603">
      <w:pPr>
        <w:spacing w:after="160" w:line="256" w:lineRule="auto"/>
        <w:ind w:left="368"/>
        <w:contextualSpacing/>
        <w:rPr>
          <w:rFonts w:ascii="David" w:eastAsia="Calibri" w:hAnsi="David"/>
          <w:noProof w:val="0"/>
        </w:rPr>
      </w:pPr>
    </w:p>
    <w:p w:rsidR="00E34603" w:rsidRPr="0022126F" w:rsidRDefault="00E34603" w:rsidP="00B70D85">
      <w:pPr>
        <w:numPr>
          <w:ilvl w:val="0"/>
          <w:numId w:val="4"/>
        </w:numPr>
        <w:spacing w:after="160" w:line="360" w:lineRule="auto"/>
        <w:ind w:left="368"/>
        <w:contextualSpacing/>
        <w:jc w:val="both"/>
        <w:rPr>
          <w:rFonts w:ascii="David" w:eastAsia="Calibri" w:hAnsi="David"/>
          <w:noProof w:val="0"/>
          <w:rtl/>
        </w:rPr>
      </w:pPr>
      <w:r w:rsidRPr="0022126F">
        <w:rPr>
          <w:rFonts w:ascii="David" w:eastAsia="Calibri" w:hAnsi="David"/>
          <w:noProof w:val="0"/>
          <w:rtl/>
        </w:rPr>
        <w:t xml:space="preserve">בכל הנוגע לטענות המבקשות </w:t>
      </w:r>
      <w:r w:rsidR="00B70D85">
        <w:rPr>
          <w:rFonts w:ascii="David" w:eastAsia="Calibri" w:hAnsi="David" w:hint="cs"/>
          <w:noProof w:val="0"/>
          <w:rtl/>
        </w:rPr>
        <w:t>בנוגע להוראת סעיף 5 לצוואה</w:t>
      </w:r>
      <w:r w:rsidRPr="0022126F">
        <w:rPr>
          <w:rFonts w:ascii="David" w:eastAsia="Calibri" w:hAnsi="David"/>
          <w:noProof w:val="0"/>
          <w:rtl/>
        </w:rPr>
        <w:t>, לדבריו מדובר בהסדר של "</w:t>
      </w:r>
      <w:r w:rsidRPr="0022126F">
        <w:rPr>
          <w:rFonts w:ascii="David" w:eastAsia="Calibri" w:hAnsi="David"/>
          <w:b/>
          <w:bCs/>
          <w:noProof w:val="0"/>
          <w:rtl/>
        </w:rPr>
        <w:t>יורש במקום יורש</w:t>
      </w:r>
      <w:r w:rsidRPr="0022126F">
        <w:rPr>
          <w:rFonts w:ascii="David" w:eastAsia="Calibri" w:hAnsi="David"/>
          <w:noProof w:val="0"/>
          <w:rtl/>
        </w:rPr>
        <w:t>" ומשירשה המנוחה את בעלה המנוח, אין לילדי המנוח כל זכות בעיזבון המנוח, והם יכלו לרשת את המנוח על פי סעיף 5 לצוואה רק אם המנוחים היו הולכים לבית עולמם בעת ובעונה אחת.</w:t>
      </w:r>
      <w:r w:rsidR="0022126F" w:rsidRPr="0022126F">
        <w:rPr>
          <w:rFonts w:ascii="David" w:eastAsia="Calibri" w:hAnsi="David" w:hint="cs"/>
          <w:noProof w:val="0"/>
          <w:rtl/>
        </w:rPr>
        <w:t xml:space="preserve"> </w:t>
      </w:r>
      <w:r w:rsidRPr="0022126F">
        <w:rPr>
          <w:rFonts w:ascii="David" w:eastAsia="Calibri" w:hAnsi="David"/>
          <w:noProof w:val="0"/>
          <w:rtl/>
        </w:rPr>
        <w:t>מבלי לגרוע מהאמור טען המשיב בנוסף כי אף לו היה מקום לומר כי עסקינן בהסדר של יורש אחר יורש הרי גם אז הייתה למנוחה הזכות לבטל או לשנות הסדר זה.</w:t>
      </w:r>
    </w:p>
    <w:p w:rsidR="00E34603" w:rsidRPr="00E34603" w:rsidRDefault="00E34603" w:rsidP="00E34603">
      <w:pPr>
        <w:spacing w:after="160" w:line="256" w:lineRule="auto"/>
        <w:ind w:left="368"/>
        <w:contextualSpacing/>
        <w:rPr>
          <w:rFonts w:ascii="David" w:eastAsia="Calibri" w:hAnsi="David"/>
          <w:noProof w:val="0"/>
        </w:rPr>
      </w:pPr>
    </w:p>
    <w:p w:rsidR="00E34603" w:rsidRPr="00E34603" w:rsidRDefault="00E34603" w:rsidP="00035F81">
      <w:pPr>
        <w:numPr>
          <w:ilvl w:val="0"/>
          <w:numId w:val="4"/>
        </w:numPr>
        <w:spacing w:after="160" w:line="360" w:lineRule="auto"/>
        <w:ind w:left="368"/>
        <w:contextualSpacing/>
        <w:jc w:val="both"/>
        <w:rPr>
          <w:rFonts w:ascii="David" w:eastAsia="Calibri" w:hAnsi="David"/>
          <w:noProof w:val="0"/>
          <w:rtl/>
        </w:rPr>
      </w:pPr>
      <w:r w:rsidRPr="00E34603">
        <w:rPr>
          <w:rFonts w:ascii="David" w:eastAsia="Calibri" w:hAnsi="David"/>
          <w:noProof w:val="0"/>
          <w:rtl/>
        </w:rPr>
        <w:t xml:space="preserve">גם ההסדר המתייחס לבתם החסויה של המנוחים בצוואתם אינו רלוונטי; וכך גם "ההגבלה" הנוגעת למכירת הדירה </w:t>
      </w:r>
      <w:r w:rsidR="00035F81">
        <w:rPr>
          <w:rFonts w:ascii="David" w:eastAsia="Calibri" w:hAnsi="David" w:hint="cs"/>
          <w:noProof w:val="0"/>
          <w:rtl/>
        </w:rPr>
        <w:t>ב-</w:t>
      </w:r>
      <w:r w:rsidR="00035F81">
        <w:rPr>
          <w:rFonts w:ascii="David" w:eastAsia="Calibri" w:hAnsi="David" w:hint="cs"/>
          <w:noProof w:val="0"/>
        </w:rPr>
        <w:t>Y</w:t>
      </w:r>
      <w:r w:rsidRPr="00E34603">
        <w:rPr>
          <w:rFonts w:ascii="David" w:eastAsia="Calibri" w:hAnsi="David"/>
          <w:noProof w:val="0"/>
          <w:rtl/>
        </w:rPr>
        <w:t>, אשר לטעמו הייתה למנוחה הזכות לבטלה או לשנותה, כאשר ממילא ההגבלה הנטענת והמוכחשת הוטלה כביכול על עו"ד ג'ובראן שמונה בצוואה ההדדית כמנהל עיזבון, והיא אינה חלה כלל על המנוחה.</w:t>
      </w:r>
    </w:p>
    <w:p w:rsidR="00E34603" w:rsidRPr="00E34603" w:rsidRDefault="00E34603" w:rsidP="00E34603">
      <w:pPr>
        <w:spacing w:after="160" w:line="256" w:lineRule="auto"/>
        <w:ind w:left="368"/>
        <w:contextualSpacing/>
        <w:rPr>
          <w:rFonts w:ascii="David" w:eastAsia="Calibri" w:hAnsi="David"/>
          <w:noProof w:val="0"/>
        </w:rPr>
      </w:pPr>
    </w:p>
    <w:p w:rsidR="00E34603" w:rsidRPr="00E34603" w:rsidRDefault="00E34603" w:rsidP="00E34603">
      <w:pPr>
        <w:numPr>
          <w:ilvl w:val="0"/>
          <w:numId w:val="4"/>
        </w:numPr>
        <w:spacing w:after="160" w:line="360" w:lineRule="auto"/>
        <w:ind w:left="368"/>
        <w:contextualSpacing/>
        <w:jc w:val="both"/>
        <w:rPr>
          <w:rFonts w:ascii="David" w:eastAsia="Calibri" w:hAnsi="David"/>
          <w:noProof w:val="0"/>
          <w:rtl/>
        </w:rPr>
      </w:pPr>
      <w:r w:rsidRPr="00E34603">
        <w:rPr>
          <w:rFonts w:ascii="David" w:eastAsia="Calibri" w:hAnsi="David"/>
          <w:noProof w:val="0"/>
          <w:rtl/>
        </w:rPr>
        <w:t xml:space="preserve">טענת המבקשות לפיה אין תוקף לצוואה מבטלת שנערכה לאחר תיקון מס' 12 הינה מוטעית, ועל פי הפסיקה יש לבחון את אומד דעתם של המצווים </w:t>
      </w:r>
      <w:r w:rsidRPr="00A57AC8">
        <w:rPr>
          <w:rFonts w:ascii="David" w:eastAsia="Calibri" w:hAnsi="David"/>
          <w:b/>
          <w:bCs/>
          <w:noProof w:val="0"/>
          <w:rtl/>
        </w:rPr>
        <w:t>לעת עשיית הצוואה ההדדית</w:t>
      </w:r>
      <w:r w:rsidRPr="00E34603">
        <w:rPr>
          <w:rFonts w:ascii="David" w:eastAsia="Calibri" w:hAnsi="David"/>
          <w:noProof w:val="0"/>
          <w:rtl/>
        </w:rPr>
        <w:t xml:space="preserve"> ולא לעת עשיית הצוואה המבטלת (</w:t>
      </w:r>
      <w:r w:rsidR="0056603B">
        <w:rPr>
          <w:rFonts w:ascii="David" w:eastAsia="Calibri" w:hAnsi="David" w:hint="cs"/>
          <w:noProof w:val="0"/>
          <w:rtl/>
        </w:rPr>
        <w:t>הפנה ל</w:t>
      </w:r>
      <w:r w:rsidRPr="00E34603">
        <w:rPr>
          <w:rFonts w:ascii="David" w:eastAsia="Calibri" w:hAnsi="David"/>
          <w:noProof w:val="0"/>
          <w:rtl/>
        </w:rPr>
        <w:t>עמ"ש 36694-10-16).</w:t>
      </w:r>
    </w:p>
    <w:p w:rsidR="00E34603" w:rsidRPr="00E34603" w:rsidRDefault="00E34603" w:rsidP="00E34603">
      <w:pPr>
        <w:spacing w:line="360" w:lineRule="auto"/>
        <w:ind w:left="368"/>
        <w:contextualSpacing/>
        <w:jc w:val="both"/>
        <w:rPr>
          <w:rFonts w:ascii="David" w:eastAsia="Calibri" w:hAnsi="David"/>
          <w:noProof w:val="0"/>
        </w:rPr>
      </w:pPr>
    </w:p>
    <w:p w:rsidR="00E34603" w:rsidRPr="00E34603" w:rsidRDefault="00E34603" w:rsidP="004C4FEA">
      <w:pPr>
        <w:numPr>
          <w:ilvl w:val="0"/>
          <w:numId w:val="4"/>
        </w:numPr>
        <w:spacing w:after="160" w:line="360" w:lineRule="auto"/>
        <w:ind w:left="368"/>
        <w:contextualSpacing/>
        <w:jc w:val="both"/>
        <w:rPr>
          <w:rFonts w:ascii="David" w:eastAsia="Calibri" w:hAnsi="David"/>
          <w:noProof w:val="0"/>
        </w:rPr>
      </w:pPr>
      <w:r w:rsidRPr="00E34603">
        <w:rPr>
          <w:rFonts w:ascii="David" w:eastAsia="Calibri" w:hAnsi="David"/>
          <w:noProof w:val="0"/>
          <w:rtl/>
        </w:rPr>
        <w:t xml:space="preserve">המשיב הדגיש כי הוראות ההשבה הקבועות בסעיף </w:t>
      </w:r>
      <w:r w:rsidR="006B28B5">
        <w:rPr>
          <w:rFonts w:ascii="David" w:eastAsia="Calibri" w:hAnsi="David"/>
          <w:noProof w:val="0"/>
          <w:rtl/>
        </w:rPr>
        <w:t>8א</w:t>
      </w:r>
      <w:r w:rsidRPr="00E34603">
        <w:rPr>
          <w:rFonts w:ascii="David" w:eastAsia="Calibri" w:hAnsi="David"/>
          <w:noProof w:val="0"/>
          <w:rtl/>
        </w:rPr>
        <w:t xml:space="preserve"> לחוק אינן חלות בעניינינו עת </w:t>
      </w:r>
      <w:r w:rsidR="004C4FEA">
        <w:rPr>
          <w:rFonts w:ascii="David" w:eastAsia="Calibri" w:hAnsi="David" w:hint="cs"/>
          <w:noProof w:val="0"/>
          <w:rtl/>
        </w:rPr>
        <w:t xml:space="preserve">הצוואה ההדדית </w:t>
      </w:r>
      <w:r w:rsidRPr="00E34603">
        <w:rPr>
          <w:rFonts w:ascii="David" w:eastAsia="Calibri" w:hAnsi="David"/>
          <w:noProof w:val="0"/>
          <w:rtl/>
        </w:rPr>
        <w:t xml:space="preserve">נערכה </w:t>
      </w:r>
      <w:r w:rsidRPr="004C4FEA">
        <w:rPr>
          <w:rFonts w:ascii="David" w:eastAsia="Calibri" w:hAnsi="David"/>
          <w:b/>
          <w:bCs/>
          <w:noProof w:val="0"/>
          <w:rtl/>
        </w:rPr>
        <w:t>לפני</w:t>
      </w:r>
      <w:r w:rsidRPr="00E34603">
        <w:rPr>
          <w:rFonts w:ascii="David" w:eastAsia="Calibri" w:hAnsi="David"/>
          <w:noProof w:val="0"/>
          <w:rtl/>
        </w:rPr>
        <w:t xml:space="preserve"> התיקון האמור, ולפיכך יש לדחות את טענת המבקשות לפיה זכיית המנוחה לפי סעיף 4 לצוואה ההדדית הייתה מותנית באי שינוי הוראות סעיפים 5-6 לצוואה, וכן את הטענה כי על המנוחה להשיב את מה שקיבלה.</w:t>
      </w:r>
    </w:p>
    <w:p w:rsidR="00E34603" w:rsidRPr="00E34603" w:rsidRDefault="00E34603" w:rsidP="00E34603">
      <w:pPr>
        <w:spacing w:line="360" w:lineRule="auto"/>
        <w:ind w:left="368"/>
        <w:contextualSpacing/>
        <w:jc w:val="both"/>
        <w:rPr>
          <w:rFonts w:ascii="David" w:eastAsia="Calibri" w:hAnsi="David"/>
          <w:b/>
          <w:bCs/>
          <w:noProof w:val="0"/>
          <w:rtl/>
        </w:rPr>
      </w:pPr>
    </w:p>
    <w:p w:rsidR="00E34603" w:rsidRPr="00E34603" w:rsidRDefault="00E34603" w:rsidP="0092405F">
      <w:pPr>
        <w:spacing w:after="160" w:line="360" w:lineRule="auto"/>
        <w:contextualSpacing/>
        <w:jc w:val="both"/>
        <w:rPr>
          <w:rFonts w:ascii="David" w:eastAsia="Calibri" w:hAnsi="David"/>
          <w:b/>
          <w:bCs/>
          <w:noProof w:val="0"/>
          <w:rtl/>
        </w:rPr>
      </w:pPr>
      <w:r w:rsidRPr="00E34603">
        <w:rPr>
          <w:rFonts w:ascii="David" w:eastAsia="Calibri" w:hAnsi="David"/>
          <w:b/>
          <w:bCs/>
          <w:noProof w:val="0"/>
          <w:rtl/>
        </w:rPr>
        <w:t>עמדת ב"כ היועמ"ש</w:t>
      </w:r>
      <w:r w:rsidRPr="0092405F">
        <w:rPr>
          <w:rFonts w:ascii="David" w:eastAsia="Calibri" w:hAnsi="David"/>
          <w:b/>
          <w:bCs/>
          <w:noProof w:val="0"/>
          <w:rtl/>
        </w:rPr>
        <w:t xml:space="preserve"> </w:t>
      </w:r>
    </w:p>
    <w:p w:rsidR="00E34603" w:rsidRPr="00E34603" w:rsidRDefault="00E34603" w:rsidP="00E34603">
      <w:pPr>
        <w:spacing w:line="360" w:lineRule="auto"/>
        <w:ind w:left="368"/>
        <w:jc w:val="both"/>
        <w:rPr>
          <w:rFonts w:ascii="David" w:eastAsia="Calibri" w:hAnsi="David"/>
          <w:noProof w:val="0"/>
          <w:rtl/>
        </w:rPr>
      </w:pPr>
    </w:p>
    <w:p w:rsidR="00E34603" w:rsidRPr="00E34603" w:rsidRDefault="00E34603" w:rsidP="00A57AC8">
      <w:pPr>
        <w:numPr>
          <w:ilvl w:val="0"/>
          <w:numId w:val="4"/>
        </w:numPr>
        <w:spacing w:after="160" w:line="360" w:lineRule="auto"/>
        <w:ind w:left="368"/>
        <w:contextualSpacing/>
        <w:jc w:val="both"/>
        <w:rPr>
          <w:rFonts w:ascii="David" w:eastAsia="Calibri" w:hAnsi="David"/>
          <w:noProof w:val="0"/>
          <w:rtl/>
        </w:rPr>
      </w:pPr>
      <w:r w:rsidRPr="00E34603">
        <w:rPr>
          <w:rFonts w:ascii="David" w:eastAsia="Calibri" w:hAnsi="David"/>
          <w:noProof w:val="0"/>
          <w:rtl/>
        </w:rPr>
        <w:t xml:space="preserve">ב"כ היועמ"ש טענה </w:t>
      </w:r>
      <w:r w:rsidR="0022126F">
        <w:rPr>
          <w:rFonts w:ascii="David" w:eastAsia="Calibri" w:hAnsi="David" w:hint="cs"/>
          <w:noProof w:val="0"/>
          <w:rtl/>
        </w:rPr>
        <w:t xml:space="preserve">למן </w:t>
      </w:r>
      <w:r w:rsidRPr="00E34603">
        <w:rPr>
          <w:rFonts w:ascii="David" w:eastAsia="Calibri" w:hAnsi="David"/>
          <w:noProof w:val="0"/>
          <w:rtl/>
        </w:rPr>
        <w:t xml:space="preserve">ראשית ההליכים דנן כי מבחינה דיונית, </w:t>
      </w:r>
      <w:r w:rsidR="00A57AC8">
        <w:rPr>
          <w:rFonts w:ascii="David" w:eastAsia="Calibri" w:hAnsi="David" w:hint="cs"/>
          <w:noProof w:val="0"/>
          <w:rtl/>
        </w:rPr>
        <w:t xml:space="preserve">יש </w:t>
      </w:r>
      <w:r w:rsidR="00A57AC8" w:rsidRPr="00E34603">
        <w:rPr>
          <w:rFonts w:ascii="David" w:eastAsia="Calibri" w:hAnsi="David"/>
          <w:noProof w:val="0"/>
          <w:rtl/>
        </w:rPr>
        <w:t xml:space="preserve">לקבוע תחילה האם </w:t>
      </w:r>
      <w:r w:rsidR="00A57AC8">
        <w:rPr>
          <w:rFonts w:ascii="David" w:eastAsia="Calibri" w:hAnsi="David" w:hint="cs"/>
          <w:noProof w:val="0"/>
          <w:rtl/>
        </w:rPr>
        <w:t xml:space="preserve">היה בידי </w:t>
      </w:r>
      <w:r w:rsidR="00A57AC8" w:rsidRPr="00E34603">
        <w:rPr>
          <w:rFonts w:ascii="David" w:eastAsia="Calibri" w:hAnsi="David"/>
          <w:noProof w:val="0"/>
          <w:rtl/>
        </w:rPr>
        <w:t>המנוחה לשנות צוואתה ולכתוב הצוואה שהוגשה לקיום משנת 2015</w:t>
      </w:r>
      <w:r w:rsidR="00A57AC8">
        <w:rPr>
          <w:rFonts w:ascii="David" w:eastAsia="Calibri" w:hAnsi="David" w:hint="cs"/>
          <w:noProof w:val="0"/>
          <w:rtl/>
        </w:rPr>
        <w:t xml:space="preserve">, </w:t>
      </w:r>
      <w:r w:rsidRPr="00E34603">
        <w:rPr>
          <w:rFonts w:ascii="David" w:eastAsia="Calibri" w:hAnsi="David"/>
          <w:noProof w:val="0"/>
          <w:rtl/>
        </w:rPr>
        <w:t xml:space="preserve">מאחר והצוואה משנת 2005 שהוגשה זה מכבר לקיום הינה צוואה הדדית אשר נכתבה במשותף עם בן הזוג וקוימה זה מכבר </w:t>
      </w:r>
      <w:r w:rsidR="00A57AC8">
        <w:rPr>
          <w:rFonts w:ascii="David" w:eastAsia="Calibri" w:hAnsi="David" w:hint="cs"/>
          <w:noProof w:val="0"/>
          <w:rtl/>
        </w:rPr>
        <w:t>לאחר פטירת</w:t>
      </w:r>
      <w:r w:rsidRPr="00E34603">
        <w:rPr>
          <w:rFonts w:ascii="David" w:eastAsia="Calibri" w:hAnsi="David"/>
          <w:noProof w:val="0"/>
          <w:rtl/>
        </w:rPr>
        <w:t xml:space="preserve"> בן הזוג המנוח; ו</w:t>
      </w:r>
      <w:r w:rsidR="009E0DF0">
        <w:rPr>
          <w:rFonts w:ascii="David" w:eastAsia="Calibri" w:hAnsi="David" w:hint="cs"/>
          <w:noProof w:val="0"/>
          <w:rtl/>
        </w:rPr>
        <w:t xml:space="preserve">כן </w:t>
      </w:r>
      <w:r w:rsidRPr="00E34603">
        <w:rPr>
          <w:rFonts w:ascii="David" w:eastAsia="Calibri" w:hAnsi="David"/>
          <w:noProof w:val="0"/>
          <w:rtl/>
        </w:rPr>
        <w:t xml:space="preserve">האם סעיף 11 לצוואה </w:t>
      </w:r>
      <w:r w:rsidR="004C4FEA">
        <w:rPr>
          <w:rFonts w:ascii="David" w:eastAsia="Calibri" w:hAnsi="David" w:hint="cs"/>
          <w:noProof w:val="0"/>
          <w:rtl/>
        </w:rPr>
        <w:t xml:space="preserve">ההדדית </w:t>
      </w:r>
      <w:r w:rsidRPr="00E34603">
        <w:rPr>
          <w:rFonts w:ascii="David" w:eastAsia="Calibri" w:hAnsi="David"/>
          <w:noProof w:val="0"/>
          <w:rtl/>
        </w:rPr>
        <w:t xml:space="preserve">משנת 2005 אכן מאפשר לבני הזוג לשמור על הזכות לבטל או לשנות את הצוואה בכל עת; ככל שבית המשפט יסבור כי אכן יכולה הייתה המנוחה לכתוב צוואה מתוקנת ושונה – ב"כ היועמ"ש לא יתערב בבקשה לקיום הצוואה משנת 2015. ראו: </w:t>
      </w:r>
      <w:r w:rsidR="0022126F">
        <w:rPr>
          <w:rFonts w:ascii="David" w:eastAsia="Calibri" w:hAnsi="David" w:hint="cs"/>
          <w:noProof w:val="0"/>
          <w:rtl/>
        </w:rPr>
        <w:t>עמדות ב"כ היועמ"ש</w:t>
      </w:r>
      <w:r w:rsidRPr="00E34603">
        <w:rPr>
          <w:rFonts w:ascii="David" w:eastAsia="Calibri" w:hAnsi="David"/>
          <w:noProof w:val="0"/>
          <w:rtl/>
        </w:rPr>
        <w:t xml:space="preserve"> מיום 2.11.20 בת"ע 38653-08-20 ומיום 13.10.20 בת"ע 38172-09-20.</w:t>
      </w:r>
    </w:p>
    <w:p w:rsidR="00E34603" w:rsidRPr="00E34603" w:rsidRDefault="00E34603" w:rsidP="00E34603">
      <w:pPr>
        <w:spacing w:line="360" w:lineRule="auto"/>
        <w:ind w:left="368"/>
        <w:contextualSpacing/>
        <w:jc w:val="both"/>
        <w:rPr>
          <w:rFonts w:ascii="David" w:eastAsia="Calibri" w:hAnsi="David"/>
          <w:noProof w:val="0"/>
        </w:rPr>
      </w:pPr>
    </w:p>
    <w:p w:rsidR="00E34603" w:rsidRPr="00E34603" w:rsidRDefault="00E34603" w:rsidP="009E0DF0">
      <w:pPr>
        <w:numPr>
          <w:ilvl w:val="0"/>
          <w:numId w:val="4"/>
        </w:numPr>
        <w:spacing w:after="160" w:line="360" w:lineRule="auto"/>
        <w:ind w:left="368"/>
        <w:contextualSpacing/>
        <w:jc w:val="both"/>
        <w:rPr>
          <w:rFonts w:ascii="David" w:eastAsia="Calibri" w:hAnsi="David"/>
          <w:noProof w:val="0"/>
          <w:rtl/>
        </w:rPr>
      </w:pPr>
      <w:r w:rsidRPr="00E34603">
        <w:rPr>
          <w:rFonts w:ascii="David" w:eastAsia="Calibri" w:hAnsi="David"/>
          <w:noProof w:val="0"/>
          <w:rtl/>
        </w:rPr>
        <w:t xml:space="preserve">במסגרת הליך קיום צוואת המנוח – ת"ע 2226-04-13 –ב"כ היועמ"ש </w:t>
      </w:r>
      <w:r w:rsidR="004C4FEA">
        <w:rPr>
          <w:rFonts w:ascii="David" w:eastAsia="Calibri" w:hAnsi="David" w:hint="cs"/>
          <w:noProof w:val="0"/>
          <w:rtl/>
        </w:rPr>
        <w:t xml:space="preserve"> ציי</w:t>
      </w:r>
      <w:r w:rsidR="009E0DF0">
        <w:rPr>
          <w:rFonts w:ascii="David" w:eastAsia="Calibri" w:hAnsi="David" w:hint="cs"/>
          <w:noProof w:val="0"/>
          <w:rtl/>
        </w:rPr>
        <w:t>נה</w:t>
      </w:r>
      <w:r w:rsidR="004C4FEA">
        <w:rPr>
          <w:rFonts w:ascii="David" w:eastAsia="Calibri" w:hAnsi="David" w:hint="cs"/>
          <w:noProof w:val="0"/>
          <w:rtl/>
        </w:rPr>
        <w:t xml:space="preserve"> </w:t>
      </w:r>
      <w:r w:rsidR="00AA4588">
        <w:rPr>
          <w:rFonts w:ascii="David" w:eastAsia="Calibri" w:hAnsi="David" w:hint="cs"/>
          <w:noProof w:val="0"/>
          <w:rtl/>
        </w:rPr>
        <w:t xml:space="preserve">בנוסף, </w:t>
      </w:r>
      <w:r w:rsidR="004C4FEA">
        <w:rPr>
          <w:rFonts w:ascii="David" w:eastAsia="Calibri" w:hAnsi="David" w:hint="cs"/>
          <w:noProof w:val="0"/>
          <w:rtl/>
        </w:rPr>
        <w:t>כי</w:t>
      </w:r>
      <w:r w:rsidRPr="00E34603">
        <w:rPr>
          <w:rFonts w:ascii="David" w:eastAsia="Calibri" w:hAnsi="David"/>
          <w:noProof w:val="0"/>
          <w:rtl/>
        </w:rPr>
        <w:t>: "</w:t>
      </w:r>
      <w:r w:rsidRPr="00CD7692">
        <w:rPr>
          <w:rFonts w:ascii="David" w:eastAsia="Calibri" w:hAnsi="David"/>
          <w:noProof w:val="0"/>
          <w:rtl/>
        </w:rPr>
        <w:t>נוסחו של סעיף 5 מעלה שאלות של פרשנות וזאת הואיל ומשמדובר בצוואה הדדית משמעות הסעיף לכאורה, כי לאחר אריכות ימיה של המבקשת שהיא הזוכה היום, יתקיימו ביחס לעיזבונה הוראות סעיף 5 באופן המקים זכויות ביתרת העזבון לילדים ולמעשה, מדובר בהוראות "יורש אחר יורש"</w:t>
      </w:r>
      <w:r w:rsidR="00CD7692">
        <w:rPr>
          <w:rFonts w:ascii="David" w:eastAsia="Calibri" w:hAnsi="David" w:hint="cs"/>
          <w:noProof w:val="0"/>
          <w:rtl/>
        </w:rPr>
        <w:t xml:space="preserve"> </w:t>
      </w:r>
      <w:r w:rsidRPr="00CD7692">
        <w:rPr>
          <w:rFonts w:ascii="David" w:eastAsia="Calibri" w:hAnsi="David"/>
          <w:noProof w:val="0"/>
          <w:rtl/>
        </w:rPr>
        <w:t>".</w:t>
      </w:r>
      <w:r w:rsidRPr="00E34603">
        <w:rPr>
          <w:rFonts w:ascii="David" w:eastAsia="Calibri" w:hAnsi="David"/>
          <w:noProof w:val="0"/>
          <w:rtl/>
        </w:rPr>
        <w:t xml:space="preserve"> ראו: תגובת ב"כ היועמ"ש מיום 24.12.13, סעיף 1 לעמדה.</w:t>
      </w:r>
    </w:p>
    <w:p w:rsidR="00E34603" w:rsidRPr="00E34603" w:rsidRDefault="00E34603" w:rsidP="00E34603">
      <w:pPr>
        <w:spacing w:after="160" w:line="256" w:lineRule="auto"/>
        <w:ind w:left="368"/>
        <w:contextualSpacing/>
        <w:rPr>
          <w:rFonts w:ascii="David" w:eastAsia="Calibri" w:hAnsi="David"/>
          <w:noProof w:val="0"/>
        </w:rPr>
      </w:pPr>
    </w:p>
    <w:p w:rsidR="00E34603" w:rsidRPr="00E34603" w:rsidRDefault="0022126F" w:rsidP="009E0DF0">
      <w:pPr>
        <w:numPr>
          <w:ilvl w:val="0"/>
          <w:numId w:val="4"/>
        </w:numPr>
        <w:spacing w:after="160" w:line="360" w:lineRule="auto"/>
        <w:ind w:left="368"/>
        <w:contextualSpacing/>
        <w:jc w:val="both"/>
        <w:rPr>
          <w:rFonts w:ascii="David" w:eastAsia="Calibri" w:hAnsi="David"/>
          <w:noProof w:val="0"/>
          <w:rtl/>
        </w:rPr>
      </w:pPr>
      <w:r>
        <w:rPr>
          <w:rFonts w:ascii="David" w:eastAsia="Calibri" w:hAnsi="David" w:hint="cs"/>
          <w:noProof w:val="0"/>
          <w:rtl/>
        </w:rPr>
        <w:t xml:space="preserve">לעמדת </w:t>
      </w:r>
      <w:r w:rsidR="00E34603" w:rsidRPr="00E34603">
        <w:rPr>
          <w:rFonts w:ascii="David" w:eastAsia="Calibri" w:hAnsi="David"/>
          <w:noProof w:val="0"/>
          <w:rtl/>
        </w:rPr>
        <w:t>ב"כ היועמ"ש</w:t>
      </w:r>
      <w:r>
        <w:rPr>
          <w:rFonts w:ascii="David" w:eastAsia="Calibri" w:hAnsi="David" w:hint="cs"/>
          <w:noProof w:val="0"/>
          <w:rtl/>
        </w:rPr>
        <w:t>,</w:t>
      </w:r>
      <w:r w:rsidR="00E34603" w:rsidRPr="00E34603">
        <w:rPr>
          <w:rFonts w:ascii="David" w:eastAsia="Calibri" w:hAnsi="David"/>
          <w:noProof w:val="0"/>
          <w:rtl/>
        </w:rPr>
        <w:t xml:space="preserve"> על פי המבחן הצורני מהותי</w:t>
      </w:r>
      <w:r w:rsidR="009E0DF0">
        <w:rPr>
          <w:rFonts w:ascii="David" w:eastAsia="Calibri" w:hAnsi="David" w:hint="cs"/>
          <w:noProof w:val="0"/>
          <w:rtl/>
        </w:rPr>
        <w:t xml:space="preserve"> </w:t>
      </w:r>
      <w:r w:rsidR="009E0DF0" w:rsidRPr="00E34603">
        <w:rPr>
          <w:rFonts w:ascii="David" w:eastAsia="Calibri" w:hAnsi="David"/>
          <w:noProof w:val="0"/>
          <w:rtl/>
        </w:rPr>
        <w:t>עסקינן בצוואה הדדית</w:t>
      </w:r>
      <w:r w:rsidR="00E34603" w:rsidRPr="00E34603">
        <w:rPr>
          <w:rFonts w:ascii="David" w:eastAsia="Calibri" w:hAnsi="David"/>
          <w:noProof w:val="0"/>
          <w:rtl/>
        </w:rPr>
        <w:t xml:space="preserve">, על אף שבמקרה דנן הכותרת </w:t>
      </w:r>
      <w:r w:rsidR="009E0DF0">
        <w:rPr>
          <w:rFonts w:ascii="David" w:eastAsia="Calibri" w:hAnsi="David" w:hint="cs"/>
          <w:noProof w:val="0"/>
          <w:rtl/>
        </w:rPr>
        <w:t xml:space="preserve">הינה </w:t>
      </w:r>
      <w:r w:rsidR="00E34603" w:rsidRPr="00E34603">
        <w:rPr>
          <w:rFonts w:ascii="David" w:eastAsia="Calibri" w:hAnsi="David"/>
          <w:noProof w:val="0"/>
          <w:rtl/>
        </w:rPr>
        <w:t xml:space="preserve">"צוואה", </w:t>
      </w:r>
      <w:r w:rsidR="009E0DF0">
        <w:rPr>
          <w:rFonts w:ascii="David" w:eastAsia="Calibri" w:hAnsi="David" w:hint="cs"/>
          <w:noProof w:val="0"/>
          <w:rtl/>
        </w:rPr>
        <w:t xml:space="preserve">שכן </w:t>
      </w:r>
      <w:r w:rsidR="00E34603" w:rsidRPr="00E34603">
        <w:rPr>
          <w:rFonts w:ascii="David" w:eastAsia="Calibri" w:hAnsi="David"/>
          <w:noProof w:val="0"/>
          <w:rtl/>
        </w:rPr>
        <w:t>בסעיף 4 ביטאו המנוחים את רצונם המשותף בהדדיות לצוות את רכושם  "כל אחד לבן זוגו שיוותר בחיים"; ובנוסף הצוואה מנוסחת בלשון רבים; כך שמדובר למעשה בצוואה של שניים המדברים בקול אחד.</w:t>
      </w:r>
    </w:p>
    <w:p w:rsidR="00E34603" w:rsidRPr="00E34603" w:rsidRDefault="00E34603" w:rsidP="00E34603">
      <w:pPr>
        <w:spacing w:after="160" w:line="256" w:lineRule="auto"/>
        <w:ind w:left="720"/>
        <w:contextualSpacing/>
        <w:rPr>
          <w:rFonts w:ascii="David" w:eastAsia="Calibri" w:hAnsi="David"/>
          <w:noProof w:val="0"/>
        </w:rPr>
      </w:pPr>
    </w:p>
    <w:p w:rsidR="00E34603" w:rsidRDefault="00AA4588" w:rsidP="00AA4588">
      <w:pPr>
        <w:numPr>
          <w:ilvl w:val="0"/>
          <w:numId w:val="4"/>
        </w:numPr>
        <w:spacing w:after="160" w:line="360" w:lineRule="auto"/>
        <w:ind w:left="368"/>
        <w:contextualSpacing/>
        <w:jc w:val="both"/>
        <w:rPr>
          <w:rFonts w:ascii="David" w:eastAsia="Calibri" w:hAnsi="David"/>
          <w:noProof w:val="0"/>
        </w:rPr>
      </w:pPr>
      <w:r>
        <w:rPr>
          <w:rFonts w:ascii="David" w:eastAsia="Calibri" w:hAnsi="David" w:hint="cs"/>
          <w:noProof w:val="0"/>
          <w:rtl/>
        </w:rPr>
        <w:t>לטענתה,</w:t>
      </w:r>
      <w:r w:rsidR="004C4FEA">
        <w:rPr>
          <w:rFonts w:ascii="David" w:eastAsia="Calibri" w:hAnsi="David" w:hint="cs"/>
          <w:noProof w:val="0"/>
          <w:rtl/>
        </w:rPr>
        <w:t xml:space="preserve"> </w:t>
      </w:r>
      <w:r w:rsidR="00E34603" w:rsidRPr="00E34603">
        <w:rPr>
          <w:rFonts w:ascii="David" w:eastAsia="Calibri" w:hAnsi="David"/>
          <w:noProof w:val="0"/>
          <w:rtl/>
        </w:rPr>
        <w:t xml:space="preserve">מאחר והצוואה נערכה לפני התיקון לחוק יחולו עליה הוראות החוק שקדמו לתיקון, בהתאם לפסק הדין המנחה- בע"מ 10807/03 </w:t>
      </w:r>
      <w:r w:rsidR="00E34603" w:rsidRPr="00E34603">
        <w:rPr>
          <w:rFonts w:ascii="David" w:eastAsia="Calibri" w:hAnsi="David"/>
          <w:b/>
          <w:bCs/>
          <w:noProof w:val="0"/>
          <w:rtl/>
        </w:rPr>
        <w:t>זמיר נ' גמליאל</w:t>
      </w:r>
      <w:r w:rsidR="00E34603" w:rsidRPr="00E34603">
        <w:rPr>
          <w:rFonts w:ascii="David" w:eastAsia="Calibri" w:hAnsi="David"/>
          <w:noProof w:val="0"/>
          <w:rtl/>
        </w:rPr>
        <w:t>. בפירוש צוואה הדדית יש להתחשב באומד הדעת המשותף- התכנית המשותפת שעמדה ביסוד הצוואה המשותפת וההדדית, רצונם המשותף ומטרותיהם המשותפות.</w:t>
      </w:r>
    </w:p>
    <w:p w:rsidR="006E237E" w:rsidRDefault="006E237E" w:rsidP="006E237E">
      <w:pPr>
        <w:pStyle w:val="ae"/>
        <w:rPr>
          <w:rFonts w:ascii="David" w:eastAsia="Calibri" w:hAnsi="David"/>
          <w:noProof w:val="0"/>
          <w:rtl/>
        </w:rPr>
      </w:pPr>
    </w:p>
    <w:p w:rsidR="006E237E" w:rsidRPr="00E34603" w:rsidRDefault="006E237E" w:rsidP="009E0DF0">
      <w:pPr>
        <w:numPr>
          <w:ilvl w:val="0"/>
          <w:numId w:val="4"/>
        </w:numPr>
        <w:spacing w:after="160" w:line="360" w:lineRule="auto"/>
        <w:ind w:left="368"/>
        <w:contextualSpacing/>
        <w:jc w:val="both"/>
        <w:rPr>
          <w:rFonts w:ascii="David" w:eastAsia="Calibri" w:hAnsi="David"/>
          <w:noProof w:val="0"/>
          <w:rtl/>
        </w:rPr>
      </w:pPr>
      <w:r w:rsidRPr="00E34603">
        <w:rPr>
          <w:rFonts w:ascii="David" w:eastAsia="Calibri" w:hAnsi="David"/>
          <w:noProof w:val="0"/>
          <w:rtl/>
        </w:rPr>
        <w:t xml:space="preserve">ב"כ היועמ"ש הפנתה לת"ע 40180/10 </w:t>
      </w:r>
      <w:r w:rsidRPr="00E34603">
        <w:rPr>
          <w:rFonts w:ascii="David" w:eastAsia="Calibri" w:hAnsi="David"/>
          <w:b/>
          <w:bCs/>
          <w:noProof w:val="0"/>
          <w:rtl/>
        </w:rPr>
        <w:t>פלונית נ' אלמוני</w:t>
      </w:r>
      <w:r w:rsidRPr="00E34603">
        <w:rPr>
          <w:rFonts w:ascii="David" w:eastAsia="Calibri" w:hAnsi="David"/>
          <w:noProof w:val="0"/>
          <w:rtl/>
        </w:rPr>
        <w:t xml:space="preserve"> (מיום 19.6.11) אשר קובע כי מאחר ובהלכת זמיר נידונה צוואת ביטול שנערכה לפני תחולת התיקון לחוק, הרי מכלל לאו אתה שומע </w:t>
      </w:r>
      <w:r w:rsidRPr="00E34603">
        <w:rPr>
          <w:rFonts w:ascii="David" w:eastAsia="Calibri" w:hAnsi="David"/>
          <w:noProof w:val="0"/>
          <w:rtl/>
        </w:rPr>
        <w:lastRenderedPageBreak/>
        <w:t xml:space="preserve">הן, כך שצוואת ביטול שנערכה לאחר התיקון לחוק, כגון במקרה דנן, תיפגענה ככל שאינן עומדות בדרישות החדשות שלאחר התיקון. </w:t>
      </w:r>
      <w:r w:rsidR="009E0DF0">
        <w:rPr>
          <w:rFonts w:ascii="David" w:eastAsia="Calibri" w:hAnsi="David" w:hint="cs"/>
          <w:noProof w:val="0"/>
          <w:rtl/>
        </w:rPr>
        <w:t xml:space="preserve">בהסתמך על כך טענה </w:t>
      </w:r>
      <w:r w:rsidRPr="00E34603">
        <w:rPr>
          <w:rFonts w:ascii="David" w:eastAsia="Calibri" w:hAnsi="David"/>
          <w:noProof w:val="0"/>
          <w:rtl/>
        </w:rPr>
        <w:t xml:space="preserve">ב"כ היועמ"ש כי על הצוואה המבטלת משנת 2015 לעמוד בתנאי סעיף </w:t>
      </w:r>
      <w:r w:rsidR="006B28B5">
        <w:rPr>
          <w:rFonts w:ascii="David" w:eastAsia="Calibri" w:hAnsi="David"/>
          <w:noProof w:val="0"/>
          <w:rtl/>
        </w:rPr>
        <w:t>8א</w:t>
      </w:r>
      <w:r w:rsidRPr="00E34603">
        <w:rPr>
          <w:rFonts w:ascii="David" w:eastAsia="Calibri" w:hAnsi="David"/>
          <w:noProof w:val="0"/>
          <w:rtl/>
        </w:rPr>
        <w:t xml:space="preserve"> לחוק</w:t>
      </w:r>
      <w:r w:rsidR="009E0DF0">
        <w:rPr>
          <w:rFonts w:ascii="David" w:eastAsia="Calibri" w:hAnsi="David" w:hint="cs"/>
          <w:noProof w:val="0"/>
          <w:rtl/>
        </w:rPr>
        <w:t xml:space="preserve"> הירושה</w:t>
      </w:r>
      <w:r w:rsidRPr="00E34603">
        <w:rPr>
          <w:rFonts w:ascii="David" w:eastAsia="Calibri" w:hAnsi="David"/>
          <w:noProof w:val="0"/>
          <w:rtl/>
        </w:rPr>
        <w:t>, תוך שציינה כי סוגיה זו מערבת שאלות של פרשנות חוק ולפיכך ההכרעה בהן מסורה לשיקו"ד ביהמ"ש.</w:t>
      </w:r>
    </w:p>
    <w:p w:rsidR="006E237E" w:rsidRDefault="006E237E" w:rsidP="006E237E">
      <w:pPr>
        <w:pStyle w:val="ae"/>
        <w:rPr>
          <w:rFonts w:ascii="David" w:eastAsia="Calibri" w:hAnsi="David"/>
          <w:noProof w:val="0"/>
          <w:rtl/>
        </w:rPr>
      </w:pPr>
    </w:p>
    <w:p w:rsidR="00E34603" w:rsidRDefault="00AA4588" w:rsidP="009E0DF0">
      <w:pPr>
        <w:numPr>
          <w:ilvl w:val="0"/>
          <w:numId w:val="4"/>
        </w:numPr>
        <w:spacing w:after="160" w:line="360" w:lineRule="auto"/>
        <w:ind w:left="368"/>
        <w:contextualSpacing/>
        <w:jc w:val="both"/>
        <w:rPr>
          <w:rFonts w:ascii="David" w:eastAsia="Calibri" w:hAnsi="David"/>
          <w:noProof w:val="0"/>
        </w:rPr>
      </w:pPr>
      <w:r>
        <w:rPr>
          <w:rFonts w:ascii="David" w:eastAsia="Calibri" w:hAnsi="David" w:hint="cs"/>
          <w:noProof w:val="0"/>
          <w:rtl/>
        </w:rPr>
        <w:t>מכ</w:t>
      </w:r>
      <w:r w:rsidR="00CD7692">
        <w:rPr>
          <w:rFonts w:ascii="David" w:eastAsia="Calibri" w:hAnsi="David" w:hint="cs"/>
          <w:noProof w:val="0"/>
          <w:rtl/>
        </w:rPr>
        <w:t xml:space="preserve">ל מקום, </w:t>
      </w:r>
      <w:r w:rsidR="009E0DF0">
        <w:rPr>
          <w:rFonts w:ascii="David" w:eastAsia="Calibri" w:hAnsi="David" w:hint="cs"/>
          <w:noProof w:val="0"/>
          <w:rtl/>
        </w:rPr>
        <w:t xml:space="preserve">לטענתה </w:t>
      </w:r>
      <w:r w:rsidR="00E34603" w:rsidRPr="0022126F">
        <w:rPr>
          <w:rFonts w:ascii="David" w:eastAsia="Calibri" w:hAnsi="David"/>
          <w:noProof w:val="0"/>
          <w:rtl/>
        </w:rPr>
        <w:t xml:space="preserve">במקרה דנן ניסוח סעיף 11 </w:t>
      </w:r>
      <w:r w:rsidR="009E0DF0">
        <w:rPr>
          <w:rFonts w:ascii="David" w:eastAsia="Calibri" w:hAnsi="David" w:hint="cs"/>
          <w:noProof w:val="0"/>
          <w:rtl/>
        </w:rPr>
        <w:t xml:space="preserve">לצוואה </w:t>
      </w:r>
      <w:r w:rsidR="00E34603" w:rsidRPr="0022126F">
        <w:rPr>
          <w:rFonts w:ascii="David" w:eastAsia="Calibri" w:hAnsi="David"/>
          <w:noProof w:val="0"/>
          <w:rtl/>
        </w:rPr>
        <w:t>בלשון רבים מלמד</w:t>
      </w:r>
      <w:r w:rsidR="00CD7692">
        <w:rPr>
          <w:rFonts w:ascii="David" w:eastAsia="Calibri" w:hAnsi="David" w:hint="cs"/>
          <w:noProof w:val="0"/>
          <w:rtl/>
        </w:rPr>
        <w:t xml:space="preserve"> </w:t>
      </w:r>
      <w:r w:rsidR="00E34603" w:rsidRPr="0022126F">
        <w:rPr>
          <w:rFonts w:ascii="David" w:eastAsia="Calibri" w:hAnsi="David"/>
          <w:noProof w:val="0"/>
          <w:rtl/>
        </w:rPr>
        <w:t xml:space="preserve">על כוונה לעריכת שינוי או ביטול </w:t>
      </w:r>
      <w:r w:rsidR="00E34603" w:rsidRPr="0022126F">
        <w:rPr>
          <w:rFonts w:ascii="David" w:eastAsia="Calibri" w:hAnsi="David"/>
          <w:b/>
          <w:bCs/>
          <w:noProof w:val="0"/>
          <w:rtl/>
        </w:rPr>
        <w:t xml:space="preserve">יחד. </w:t>
      </w:r>
      <w:r w:rsidR="009E0DF0" w:rsidRPr="009E0DF0">
        <w:rPr>
          <w:rFonts w:ascii="David" w:eastAsia="Calibri" w:hAnsi="David" w:hint="cs"/>
          <w:noProof w:val="0"/>
          <w:rtl/>
        </w:rPr>
        <w:t>לדידה,</w:t>
      </w:r>
      <w:r w:rsidR="009E0DF0">
        <w:rPr>
          <w:rFonts w:ascii="David" w:eastAsia="Calibri" w:hAnsi="David" w:hint="cs"/>
          <w:b/>
          <w:bCs/>
          <w:noProof w:val="0"/>
          <w:rtl/>
        </w:rPr>
        <w:t xml:space="preserve"> </w:t>
      </w:r>
      <w:r w:rsidR="00E34603" w:rsidRPr="0022126F">
        <w:rPr>
          <w:rFonts w:ascii="David" w:eastAsia="Calibri" w:hAnsi="David"/>
          <w:noProof w:val="0"/>
          <w:rtl/>
        </w:rPr>
        <w:t xml:space="preserve">ניתן היה לצפות לפחות לביטוי "ביחד או לחוד" המייחס לכל אחד זכות עצמאית ונפרדת לשינוי או ביטול. </w:t>
      </w:r>
      <w:r w:rsidR="009E0DF0">
        <w:rPr>
          <w:rFonts w:ascii="David" w:eastAsia="Calibri" w:hAnsi="David" w:hint="cs"/>
          <w:noProof w:val="0"/>
          <w:rtl/>
        </w:rPr>
        <w:t xml:space="preserve">אולם </w:t>
      </w:r>
      <w:r w:rsidR="00E34603" w:rsidRPr="0022126F">
        <w:rPr>
          <w:rFonts w:ascii="David" w:eastAsia="Calibri" w:hAnsi="David"/>
          <w:noProof w:val="0"/>
          <w:rtl/>
        </w:rPr>
        <w:t xml:space="preserve">בהיעדרו, מסתברת יותר הטענה כי </w:t>
      </w:r>
      <w:r w:rsidR="009E0DF0">
        <w:rPr>
          <w:rFonts w:ascii="David" w:eastAsia="Calibri" w:hAnsi="David" w:hint="cs"/>
          <w:noProof w:val="0"/>
          <w:rtl/>
        </w:rPr>
        <w:t xml:space="preserve">המצווים </w:t>
      </w:r>
      <w:r w:rsidR="00E34603" w:rsidRPr="0022126F">
        <w:rPr>
          <w:rFonts w:ascii="David" w:eastAsia="Calibri" w:hAnsi="David"/>
          <w:noProof w:val="0"/>
          <w:rtl/>
        </w:rPr>
        <w:t xml:space="preserve">ביקשו לכבול את עצמם ל"צוואתנו האחרונה" ולהימנע מעריכת שינויים חד צדדיים (הפנתה לעמ"ש (ת"א) 51823-03-11 </w:t>
      </w:r>
      <w:r w:rsidR="00E34603" w:rsidRPr="0022126F">
        <w:rPr>
          <w:rFonts w:ascii="David" w:eastAsia="Calibri" w:hAnsi="David"/>
          <w:b/>
          <w:bCs/>
          <w:noProof w:val="0"/>
          <w:rtl/>
        </w:rPr>
        <w:t>פלונית נ' פלוני</w:t>
      </w:r>
      <w:r w:rsidR="00E34603" w:rsidRPr="0022126F">
        <w:rPr>
          <w:rFonts w:ascii="David" w:eastAsia="Calibri" w:hAnsi="David"/>
          <w:noProof w:val="0"/>
          <w:rtl/>
        </w:rPr>
        <w:t xml:space="preserve"> (מיום 9.4.13)).</w:t>
      </w:r>
    </w:p>
    <w:p w:rsidR="006E237E" w:rsidRDefault="006E237E" w:rsidP="006E237E">
      <w:pPr>
        <w:pStyle w:val="ae"/>
        <w:rPr>
          <w:rFonts w:ascii="David" w:eastAsia="Calibri" w:hAnsi="David"/>
          <w:noProof w:val="0"/>
          <w:rtl/>
        </w:rPr>
      </w:pPr>
    </w:p>
    <w:p w:rsidR="00E34603" w:rsidRPr="0022126F" w:rsidRDefault="00E34603" w:rsidP="00035F81">
      <w:pPr>
        <w:numPr>
          <w:ilvl w:val="0"/>
          <w:numId w:val="4"/>
        </w:numPr>
        <w:spacing w:after="160" w:line="360" w:lineRule="auto"/>
        <w:ind w:left="368"/>
        <w:contextualSpacing/>
        <w:jc w:val="both"/>
        <w:rPr>
          <w:rFonts w:ascii="David" w:eastAsia="Calibri" w:hAnsi="David"/>
          <w:noProof w:val="0"/>
          <w:rtl/>
        </w:rPr>
      </w:pPr>
      <w:r w:rsidRPr="0022126F">
        <w:rPr>
          <w:rFonts w:ascii="David" w:eastAsia="Calibri" w:hAnsi="David"/>
          <w:noProof w:val="0"/>
          <w:rtl/>
        </w:rPr>
        <w:t>ב"כ היועמ"ש הוסיפה וטענה כי מלשון הוראות סעיפים 2 ו-3 לצוואה ההדדית ניתן אף ללמוד כי בני הזוג המנוחים ביקשו לעגן את תכניתם המשותפת באמצעות פרשנות המקיימת את קנייני הזוכים לפי הצוואה. פרשנות זו מקבלת תוקף נוסף באמצעות הוראת "</w:t>
      </w:r>
      <w:r w:rsidRPr="0022126F">
        <w:rPr>
          <w:rFonts w:ascii="David" w:eastAsia="Calibri" w:hAnsi="David"/>
          <w:b/>
          <w:bCs/>
          <w:noProof w:val="0"/>
          <w:rtl/>
        </w:rPr>
        <w:t>יורש אחר יורש</w:t>
      </w:r>
      <w:r w:rsidRPr="0022126F">
        <w:rPr>
          <w:rFonts w:ascii="David" w:eastAsia="Calibri" w:hAnsi="David"/>
          <w:noProof w:val="0"/>
          <w:rtl/>
        </w:rPr>
        <w:t xml:space="preserve">" – שלשיטתה נקבעה בהוראת סעיף 5 לצוואה, ומשמעותה היא כי המנוחה </w:t>
      </w:r>
      <w:r w:rsidRPr="0022126F">
        <w:rPr>
          <w:rFonts w:ascii="David" w:eastAsia="Calibri" w:hAnsi="David"/>
          <w:b/>
          <w:bCs/>
          <w:noProof w:val="0"/>
          <w:rtl/>
        </w:rPr>
        <w:t>לא</w:t>
      </w:r>
      <w:r w:rsidRPr="0022126F">
        <w:rPr>
          <w:rFonts w:ascii="David" w:eastAsia="Calibri" w:hAnsi="David"/>
          <w:noProof w:val="0"/>
          <w:rtl/>
        </w:rPr>
        <w:t xml:space="preserve"> הייתה רשאית לשנות את זהות היורשים וזכויותיהם באמצעות עריכת הצוואה המאוחרת משנת 2015 (דוגמת ההוראה בסעיף 6 לצוואה בעניין הדירה </w:t>
      </w:r>
      <w:r w:rsidR="00035F81">
        <w:rPr>
          <w:rFonts w:ascii="David" w:eastAsia="Calibri" w:hAnsi="David" w:hint="cs"/>
          <w:noProof w:val="0"/>
          <w:rtl/>
        </w:rPr>
        <w:t>ב-</w:t>
      </w:r>
      <w:r w:rsidR="00035F81">
        <w:rPr>
          <w:rFonts w:ascii="David" w:eastAsia="Calibri" w:hAnsi="David" w:hint="cs"/>
          <w:noProof w:val="0"/>
        </w:rPr>
        <w:t>Y</w:t>
      </w:r>
      <w:r w:rsidRPr="0022126F">
        <w:rPr>
          <w:rFonts w:ascii="David" w:eastAsia="Calibri" w:hAnsi="David"/>
          <w:noProof w:val="0"/>
          <w:rtl/>
        </w:rPr>
        <w:t xml:space="preserve">). </w:t>
      </w:r>
    </w:p>
    <w:p w:rsidR="00E34603" w:rsidRPr="00E34603" w:rsidRDefault="00E34603" w:rsidP="00E34603">
      <w:pPr>
        <w:spacing w:after="160" w:line="256" w:lineRule="auto"/>
        <w:ind w:left="720"/>
        <w:contextualSpacing/>
        <w:rPr>
          <w:rFonts w:ascii="David" w:eastAsia="Calibri" w:hAnsi="David"/>
          <w:noProof w:val="0"/>
        </w:rPr>
      </w:pPr>
    </w:p>
    <w:p w:rsidR="00E34603" w:rsidRPr="00E34603" w:rsidRDefault="00E34603" w:rsidP="00E44B9D">
      <w:pPr>
        <w:numPr>
          <w:ilvl w:val="0"/>
          <w:numId w:val="4"/>
        </w:numPr>
        <w:spacing w:after="160" w:line="360" w:lineRule="auto"/>
        <w:ind w:left="368"/>
        <w:contextualSpacing/>
        <w:jc w:val="both"/>
        <w:rPr>
          <w:rFonts w:ascii="David" w:eastAsia="Calibri" w:hAnsi="David"/>
          <w:noProof w:val="0"/>
          <w:rtl/>
        </w:rPr>
      </w:pPr>
      <w:r w:rsidRPr="00E34603">
        <w:rPr>
          <w:rFonts w:ascii="David" w:eastAsia="Calibri" w:hAnsi="David"/>
          <w:noProof w:val="0"/>
          <w:rtl/>
        </w:rPr>
        <w:t xml:space="preserve">לטענתה, </w:t>
      </w:r>
      <w:r w:rsidR="00CD7692">
        <w:rPr>
          <w:rFonts w:ascii="David" w:eastAsia="Calibri" w:hAnsi="David" w:hint="cs"/>
          <w:noProof w:val="0"/>
          <w:rtl/>
        </w:rPr>
        <w:t>עמדת</w:t>
      </w:r>
      <w:r w:rsidRPr="00E34603">
        <w:rPr>
          <w:rFonts w:ascii="David" w:eastAsia="Calibri" w:hAnsi="David"/>
          <w:noProof w:val="0"/>
          <w:rtl/>
        </w:rPr>
        <w:t xml:space="preserve"> המשיב </w:t>
      </w:r>
      <w:r w:rsidR="00CD7692">
        <w:rPr>
          <w:rFonts w:ascii="David" w:eastAsia="Calibri" w:hAnsi="David" w:hint="cs"/>
          <w:noProof w:val="0"/>
          <w:rtl/>
        </w:rPr>
        <w:t>לפיה</w:t>
      </w:r>
      <w:r w:rsidRPr="00E34603">
        <w:rPr>
          <w:rFonts w:ascii="David" w:eastAsia="Calibri" w:hAnsi="David"/>
          <w:noProof w:val="0"/>
          <w:rtl/>
        </w:rPr>
        <w:t xml:space="preserve"> מדובר בהוראה של "יורש </w:t>
      </w:r>
      <w:r w:rsidRPr="00E34603">
        <w:rPr>
          <w:rFonts w:ascii="David" w:eastAsia="Calibri" w:hAnsi="David"/>
          <w:b/>
          <w:bCs/>
          <w:noProof w:val="0"/>
          <w:rtl/>
        </w:rPr>
        <w:t>במקום</w:t>
      </w:r>
      <w:r w:rsidR="00CD7692">
        <w:rPr>
          <w:rFonts w:ascii="David" w:eastAsia="Calibri" w:hAnsi="David"/>
          <w:noProof w:val="0"/>
          <w:rtl/>
        </w:rPr>
        <w:t xml:space="preserve"> יורש"</w:t>
      </w:r>
      <w:r w:rsidR="00CD7692">
        <w:rPr>
          <w:rFonts w:ascii="David" w:eastAsia="Calibri" w:hAnsi="David" w:hint="cs"/>
          <w:noProof w:val="0"/>
          <w:rtl/>
        </w:rPr>
        <w:t xml:space="preserve">, </w:t>
      </w:r>
      <w:r w:rsidRPr="00E34603">
        <w:rPr>
          <w:rFonts w:ascii="David" w:eastAsia="Calibri" w:hAnsi="David"/>
          <w:noProof w:val="0"/>
          <w:rtl/>
        </w:rPr>
        <w:t xml:space="preserve">אינה מתיישבת עם הוראות הצוואה כולה לפיהן המנוחים ביקשו לעגן במסגרת תכניתם המשותפת את "קנייני הזוכים" ולהימנע מפגיעה בהם ובקניינם. </w:t>
      </w:r>
      <w:r w:rsidR="00E44B9D">
        <w:rPr>
          <w:rFonts w:ascii="David" w:eastAsia="Calibri" w:hAnsi="David" w:hint="cs"/>
          <w:noProof w:val="0"/>
          <w:rtl/>
        </w:rPr>
        <w:t>לשיטתה,</w:t>
      </w:r>
      <w:r w:rsidRPr="00E34603">
        <w:rPr>
          <w:rFonts w:ascii="David" w:eastAsia="Calibri" w:hAnsi="David"/>
          <w:noProof w:val="0"/>
          <w:rtl/>
        </w:rPr>
        <w:t xml:space="preserve"> אף לו לשון הצוואה סובלת לכאורה פירוש של הוראה זו כהוראת "יורש במקום יורש", אין בה לפגוע ברצון המפורש המובע בסעיפים 2-3 לצוואה ובמתווה המפורט בסעיף 5, אליו הגיעו המנוחים במשותף "לאחר שיקול דעת מעמיק וממושך....ומתוך הכרה מלאה ודעה צלולה שזו צוואתנו</w:t>
      </w:r>
      <w:r w:rsidR="004C4FEA">
        <w:rPr>
          <w:rFonts w:ascii="David" w:eastAsia="Calibri" w:hAnsi="David" w:hint="cs"/>
          <w:noProof w:val="0"/>
          <w:rtl/>
        </w:rPr>
        <w:t>"</w:t>
      </w:r>
      <w:r w:rsidRPr="00E34603">
        <w:rPr>
          <w:rFonts w:ascii="David" w:eastAsia="Calibri" w:hAnsi="David"/>
          <w:noProof w:val="0"/>
          <w:rtl/>
        </w:rPr>
        <w:t xml:space="preserve"> (סעיף 9 לצוואה).</w:t>
      </w:r>
    </w:p>
    <w:p w:rsidR="00E34603" w:rsidRPr="00E34603" w:rsidRDefault="00E34603" w:rsidP="00E34603">
      <w:pPr>
        <w:spacing w:after="160" w:line="256" w:lineRule="auto"/>
        <w:ind w:left="720"/>
        <w:contextualSpacing/>
        <w:rPr>
          <w:rFonts w:ascii="David" w:eastAsia="Calibri" w:hAnsi="David"/>
          <w:noProof w:val="0"/>
        </w:rPr>
      </w:pPr>
    </w:p>
    <w:p w:rsidR="00E34603" w:rsidRPr="00E34603" w:rsidRDefault="00E34603" w:rsidP="009E0DF0">
      <w:pPr>
        <w:numPr>
          <w:ilvl w:val="0"/>
          <w:numId w:val="4"/>
        </w:numPr>
        <w:spacing w:after="160" w:line="360" w:lineRule="auto"/>
        <w:ind w:left="368"/>
        <w:contextualSpacing/>
        <w:jc w:val="both"/>
        <w:rPr>
          <w:rFonts w:ascii="David" w:eastAsia="Calibri" w:hAnsi="David"/>
          <w:noProof w:val="0"/>
          <w:rtl/>
        </w:rPr>
      </w:pPr>
      <w:r w:rsidRPr="00E34603">
        <w:rPr>
          <w:rFonts w:ascii="David" w:eastAsia="Calibri" w:hAnsi="David"/>
          <w:noProof w:val="0"/>
          <w:rtl/>
        </w:rPr>
        <w:t>עוד ציינה</w:t>
      </w:r>
      <w:r w:rsidR="009E0DF0">
        <w:rPr>
          <w:rFonts w:ascii="David" w:eastAsia="Calibri" w:hAnsi="David" w:hint="cs"/>
          <w:noProof w:val="0"/>
          <w:rtl/>
        </w:rPr>
        <w:t>,</w:t>
      </w:r>
      <w:r w:rsidRPr="00E34603">
        <w:rPr>
          <w:rFonts w:ascii="David" w:eastAsia="Calibri" w:hAnsi="David"/>
          <w:noProof w:val="0"/>
          <w:rtl/>
        </w:rPr>
        <w:t xml:space="preserve"> כי סוגיית הזכות לערוך שינוי בצוואה ההדדית צריכה להיבחן גם בנוגע למעשה הביטול ונסיבותיו. </w:t>
      </w:r>
      <w:r w:rsidR="006E237E">
        <w:rPr>
          <w:rFonts w:ascii="David" w:eastAsia="Calibri" w:hAnsi="David" w:hint="cs"/>
          <w:noProof w:val="0"/>
          <w:rtl/>
        </w:rPr>
        <w:t>הצדדים טענו</w:t>
      </w:r>
      <w:r w:rsidRPr="00E34603">
        <w:rPr>
          <w:rFonts w:ascii="David" w:eastAsia="Calibri" w:hAnsi="David"/>
          <w:noProof w:val="0"/>
          <w:rtl/>
        </w:rPr>
        <w:t xml:space="preserve"> כי הצוואה המאוחרת נערכה תחת השפעה בלתי הוגנת אונס תחבולה או תרמית. ככל שיוכח כי אלו נסיבות עריכתה היא בטלה לפי הוראת סעיף 30 לחוק. סוגיה זו מערבת שאלות עובדתיות וההכרעה בהן מסורה לשיקו"ד ביהמ"ש. </w:t>
      </w:r>
    </w:p>
    <w:p w:rsidR="00E34603" w:rsidRPr="00E34603" w:rsidRDefault="00E34603" w:rsidP="00E34603">
      <w:pPr>
        <w:spacing w:after="160" w:line="256" w:lineRule="auto"/>
        <w:ind w:left="720"/>
        <w:contextualSpacing/>
        <w:rPr>
          <w:rFonts w:ascii="David" w:eastAsia="Calibri" w:hAnsi="David"/>
          <w:noProof w:val="0"/>
        </w:rPr>
      </w:pPr>
    </w:p>
    <w:p w:rsidR="00E34603" w:rsidRPr="00E34603" w:rsidRDefault="00E34603" w:rsidP="00E34603">
      <w:pPr>
        <w:numPr>
          <w:ilvl w:val="0"/>
          <w:numId w:val="4"/>
        </w:numPr>
        <w:spacing w:after="160" w:line="360" w:lineRule="auto"/>
        <w:ind w:left="368"/>
        <w:contextualSpacing/>
        <w:jc w:val="both"/>
        <w:rPr>
          <w:rFonts w:ascii="David" w:eastAsia="Calibri" w:hAnsi="David"/>
          <w:noProof w:val="0"/>
          <w:rtl/>
        </w:rPr>
      </w:pPr>
      <w:r w:rsidRPr="00E34603">
        <w:rPr>
          <w:rFonts w:ascii="David" w:eastAsia="Calibri" w:hAnsi="David"/>
          <w:noProof w:val="0"/>
          <w:rtl/>
        </w:rPr>
        <w:t xml:space="preserve">סיכומם של דברים הוא </w:t>
      </w:r>
      <w:r w:rsidRPr="00E34603">
        <w:rPr>
          <w:rFonts w:ascii="David" w:eastAsia="Calibri" w:hAnsi="David"/>
          <w:b/>
          <w:bCs/>
          <w:noProof w:val="0"/>
          <w:rtl/>
        </w:rPr>
        <w:t>שלשיטת ב"כ היועמ"ש המנוחה לא הייתה רשאית לערוך צוואה המבטלת את הצוואה ההדדית</w:t>
      </w:r>
      <w:r w:rsidRPr="00E34603">
        <w:rPr>
          <w:rFonts w:ascii="David" w:eastAsia="Calibri" w:hAnsi="David"/>
          <w:noProof w:val="0"/>
          <w:rtl/>
        </w:rPr>
        <w:t xml:space="preserve"> באופן הפוגע</w:t>
      </w:r>
      <w:r w:rsidR="00E44B9D">
        <w:rPr>
          <w:rFonts w:ascii="David" w:eastAsia="Calibri" w:hAnsi="David"/>
          <w:noProof w:val="0"/>
          <w:rtl/>
        </w:rPr>
        <w:t xml:space="preserve"> בקנייני הזוכים בין בהתייחס לתנ</w:t>
      </w:r>
      <w:r w:rsidRPr="00E34603">
        <w:rPr>
          <w:rFonts w:ascii="David" w:eastAsia="Calibri" w:hAnsi="David"/>
          <w:noProof w:val="0"/>
          <w:rtl/>
        </w:rPr>
        <w:t>י</w:t>
      </w:r>
      <w:r w:rsidR="00E44B9D">
        <w:rPr>
          <w:rFonts w:ascii="David" w:eastAsia="Calibri" w:hAnsi="David" w:hint="cs"/>
          <w:noProof w:val="0"/>
          <w:rtl/>
        </w:rPr>
        <w:t>י</w:t>
      </w:r>
      <w:r w:rsidRPr="00E34603">
        <w:rPr>
          <w:rFonts w:ascii="David" w:eastAsia="Calibri" w:hAnsi="David"/>
          <w:noProof w:val="0"/>
          <w:rtl/>
        </w:rPr>
        <w:t>ת הביטול האמורה בסעיף 11 לצוואה ובין לאור הוראת "יורש אחר יורש" הקבועה בסעיף 5 לצוואה.</w:t>
      </w:r>
    </w:p>
    <w:p w:rsidR="00E34603" w:rsidRPr="00E34603" w:rsidRDefault="00E34603" w:rsidP="00E34603">
      <w:pPr>
        <w:spacing w:line="360" w:lineRule="auto"/>
        <w:ind w:left="368"/>
        <w:contextualSpacing/>
        <w:jc w:val="both"/>
        <w:rPr>
          <w:rFonts w:ascii="David" w:eastAsia="Calibri" w:hAnsi="David"/>
          <w:b/>
          <w:bCs/>
          <w:noProof w:val="0"/>
        </w:rPr>
      </w:pPr>
    </w:p>
    <w:p w:rsidR="00E34603" w:rsidRPr="0092405F" w:rsidRDefault="00E34603" w:rsidP="0092405F">
      <w:pPr>
        <w:spacing w:line="360" w:lineRule="auto"/>
        <w:ind w:left="8"/>
        <w:contextualSpacing/>
        <w:jc w:val="both"/>
        <w:rPr>
          <w:rFonts w:ascii="David" w:eastAsia="Calibri" w:hAnsi="David"/>
          <w:noProof w:val="0"/>
          <w:u w:val="single"/>
          <w:rtl/>
        </w:rPr>
      </w:pPr>
      <w:r w:rsidRPr="0092405F">
        <w:rPr>
          <w:rFonts w:ascii="David" w:eastAsia="Calibri" w:hAnsi="David"/>
          <w:b/>
          <w:bCs/>
          <w:noProof w:val="0"/>
          <w:u w:val="single"/>
          <w:rtl/>
        </w:rPr>
        <w:t xml:space="preserve">דיון והכרעה </w:t>
      </w:r>
    </w:p>
    <w:p w:rsidR="00E34603" w:rsidRPr="00E34603" w:rsidRDefault="00E34603" w:rsidP="00E34603">
      <w:pPr>
        <w:spacing w:line="360" w:lineRule="auto"/>
        <w:ind w:left="368"/>
        <w:contextualSpacing/>
        <w:jc w:val="both"/>
        <w:rPr>
          <w:rFonts w:ascii="David" w:eastAsia="Calibri" w:hAnsi="David"/>
          <w:noProof w:val="0"/>
        </w:rPr>
      </w:pPr>
    </w:p>
    <w:p w:rsidR="00E34603" w:rsidRPr="00E34603" w:rsidRDefault="00E34603" w:rsidP="00A12D50">
      <w:pPr>
        <w:numPr>
          <w:ilvl w:val="0"/>
          <w:numId w:val="4"/>
        </w:numPr>
        <w:spacing w:after="160" w:line="360" w:lineRule="auto"/>
        <w:ind w:left="368"/>
        <w:contextualSpacing/>
        <w:jc w:val="both"/>
        <w:rPr>
          <w:rFonts w:ascii="David" w:eastAsia="Calibri" w:hAnsi="David"/>
          <w:noProof w:val="0"/>
        </w:rPr>
      </w:pPr>
      <w:r w:rsidRPr="00E34603">
        <w:rPr>
          <w:rFonts w:ascii="David" w:eastAsia="Calibri" w:hAnsi="David"/>
          <w:noProof w:val="0"/>
          <w:rtl/>
        </w:rPr>
        <w:t xml:space="preserve">להלן אפנה לבחון השאלה הניצבת לפתחי </w:t>
      </w:r>
      <w:r w:rsidR="009E0DF0">
        <w:rPr>
          <w:rFonts w:ascii="David" w:eastAsia="Calibri" w:hAnsi="David" w:hint="cs"/>
          <w:noProof w:val="0"/>
          <w:rtl/>
        </w:rPr>
        <w:t xml:space="preserve">בהכרעה </w:t>
      </w:r>
      <w:r w:rsidR="009E0DF0" w:rsidRPr="00E34603">
        <w:rPr>
          <w:rFonts w:ascii="David" w:eastAsia="Calibri" w:hAnsi="David"/>
          <w:noProof w:val="0"/>
          <w:rtl/>
        </w:rPr>
        <w:t xml:space="preserve">מקדמית </w:t>
      </w:r>
      <w:r w:rsidR="009E0DF0">
        <w:rPr>
          <w:rFonts w:ascii="David" w:eastAsia="Calibri" w:hAnsi="David" w:hint="cs"/>
          <w:noProof w:val="0"/>
          <w:rtl/>
        </w:rPr>
        <w:t xml:space="preserve">זו </w:t>
      </w:r>
      <w:r w:rsidRPr="00E34603">
        <w:rPr>
          <w:rFonts w:ascii="David" w:eastAsia="Calibri" w:hAnsi="David"/>
          <w:noProof w:val="0"/>
          <w:rtl/>
        </w:rPr>
        <w:t xml:space="preserve">- האם </w:t>
      </w:r>
      <w:r w:rsidR="0092405F">
        <w:rPr>
          <w:rFonts w:ascii="David" w:eastAsia="Calibri" w:hAnsi="David" w:hint="cs"/>
          <w:noProof w:val="0"/>
          <w:rtl/>
        </w:rPr>
        <w:t xml:space="preserve">בנסיבות המקרה דנן </w:t>
      </w:r>
      <w:r w:rsidRPr="00E34603">
        <w:rPr>
          <w:rFonts w:ascii="David" w:eastAsia="Calibri" w:hAnsi="David"/>
          <w:noProof w:val="0"/>
          <w:rtl/>
        </w:rPr>
        <w:t>ניתן היה בידי המנוחה לשנות את הצוואה ההדדית שערכה ביחד עם בעלה באמצעות צוואה חדשה אותה ערכה לאחר פטירתו, אם לאו.</w:t>
      </w:r>
    </w:p>
    <w:p w:rsidR="00E34603" w:rsidRPr="00A12D50" w:rsidRDefault="00E34603" w:rsidP="00E34603">
      <w:pPr>
        <w:spacing w:line="360" w:lineRule="auto"/>
        <w:ind w:left="368"/>
        <w:contextualSpacing/>
        <w:jc w:val="both"/>
        <w:rPr>
          <w:rFonts w:ascii="David" w:eastAsia="Calibri" w:hAnsi="David"/>
          <w:noProof w:val="0"/>
        </w:rPr>
      </w:pPr>
    </w:p>
    <w:p w:rsidR="00E34603" w:rsidRPr="00E34603" w:rsidRDefault="00E34603" w:rsidP="00E34603">
      <w:pPr>
        <w:numPr>
          <w:ilvl w:val="0"/>
          <w:numId w:val="4"/>
        </w:numPr>
        <w:spacing w:after="160" w:line="360" w:lineRule="auto"/>
        <w:ind w:left="368"/>
        <w:contextualSpacing/>
        <w:jc w:val="both"/>
        <w:rPr>
          <w:rFonts w:ascii="David" w:eastAsia="Calibri" w:hAnsi="David"/>
          <w:noProof w:val="0"/>
        </w:rPr>
      </w:pPr>
      <w:r w:rsidRPr="00E34603">
        <w:rPr>
          <w:rFonts w:ascii="David" w:eastAsia="Calibri" w:hAnsi="David"/>
          <w:noProof w:val="0"/>
          <w:rtl/>
        </w:rPr>
        <w:t>לצורך הכרעה בשאלה זו אעמוד תחילה על מהותה של צוואה הדדית</w:t>
      </w:r>
      <w:r w:rsidR="00CD1CFA">
        <w:rPr>
          <w:rFonts w:ascii="David" w:eastAsia="Calibri" w:hAnsi="David" w:hint="cs"/>
          <w:noProof w:val="0"/>
          <w:rtl/>
        </w:rPr>
        <w:t>,</w:t>
      </w:r>
      <w:r w:rsidRPr="00E34603">
        <w:rPr>
          <w:rFonts w:ascii="David" w:eastAsia="Calibri" w:hAnsi="David"/>
          <w:noProof w:val="0"/>
          <w:rtl/>
        </w:rPr>
        <w:t xml:space="preserve"> על הדין החל על צוואות הדדיות שנערכו קודם לתיקון מס' 12 לחוק הירושה, ועל רקע האמור אפנה לדון במחלוקות אודות פרשנות הוראות הצוואה, בפרט סעיפים 11 ו-5 לצוואה ההדדית.</w:t>
      </w:r>
    </w:p>
    <w:p w:rsidR="00E34603" w:rsidRPr="00E34603" w:rsidRDefault="00E34603" w:rsidP="00E34603">
      <w:pPr>
        <w:spacing w:after="160" w:line="256" w:lineRule="auto"/>
        <w:ind w:left="720"/>
        <w:contextualSpacing/>
        <w:rPr>
          <w:rFonts w:ascii="David" w:eastAsia="Calibri" w:hAnsi="David"/>
          <w:noProof w:val="0"/>
        </w:rPr>
      </w:pPr>
    </w:p>
    <w:p w:rsidR="00E34603" w:rsidRPr="0092405F" w:rsidRDefault="00C90A8F" w:rsidP="00B2278D">
      <w:pPr>
        <w:spacing w:after="160" w:line="360" w:lineRule="auto"/>
        <w:contextualSpacing/>
        <w:jc w:val="both"/>
        <w:rPr>
          <w:rFonts w:ascii="David" w:eastAsia="Calibri" w:hAnsi="David"/>
          <w:b/>
          <w:bCs/>
          <w:noProof w:val="0"/>
          <w:rtl/>
        </w:rPr>
      </w:pPr>
      <w:r w:rsidRPr="00C90A8F">
        <w:rPr>
          <w:rFonts w:ascii="David" w:eastAsia="Calibri" w:hAnsi="David" w:hint="cs"/>
          <w:b/>
          <w:bCs/>
          <w:noProof w:val="0"/>
          <w:rtl/>
        </w:rPr>
        <w:t>צוואה הדדית</w:t>
      </w:r>
      <w:r>
        <w:rPr>
          <w:rFonts w:ascii="David" w:eastAsia="Calibri" w:hAnsi="David" w:hint="cs"/>
          <w:b/>
          <w:bCs/>
          <w:noProof w:val="0"/>
          <w:rtl/>
        </w:rPr>
        <w:t xml:space="preserve"> </w:t>
      </w:r>
      <w:r>
        <w:rPr>
          <w:rFonts w:ascii="David" w:eastAsia="Calibri" w:hAnsi="David"/>
          <w:b/>
          <w:bCs/>
          <w:noProof w:val="0"/>
          <w:rtl/>
        </w:rPr>
        <w:t>–</w:t>
      </w:r>
      <w:r>
        <w:rPr>
          <w:rFonts w:ascii="David" w:eastAsia="Calibri" w:hAnsi="David" w:hint="cs"/>
          <w:b/>
          <w:bCs/>
          <w:noProof w:val="0"/>
          <w:rtl/>
        </w:rPr>
        <w:t xml:space="preserve"> עקרון החופש לצוות אל מול עקרון ההסתמכות </w:t>
      </w:r>
    </w:p>
    <w:p w:rsidR="00E34603" w:rsidRPr="00E34603" w:rsidRDefault="00E34603" w:rsidP="00E34603">
      <w:pPr>
        <w:spacing w:line="360" w:lineRule="auto"/>
        <w:ind w:left="368"/>
        <w:contextualSpacing/>
        <w:jc w:val="both"/>
        <w:rPr>
          <w:rFonts w:ascii="David" w:eastAsia="Calibri" w:hAnsi="David"/>
          <w:b/>
          <w:bCs/>
          <w:noProof w:val="0"/>
          <w:rtl/>
        </w:rPr>
      </w:pPr>
    </w:p>
    <w:p w:rsidR="00B2278D" w:rsidRPr="00664EA9" w:rsidRDefault="00E34603" w:rsidP="00C0600D">
      <w:pPr>
        <w:numPr>
          <w:ilvl w:val="0"/>
          <w:numId w:val="4"/>
        </w:numPr>
        <w:spacing w:after="160" w:line="360" w:lineRule="auto"/>
        <w:ind w:left="368"/>
        <w:contextualSpacing/>
        <w:jc w:val="both"/>
        <w:rPr>
          <w:rFonts w:ascii="David" w:eastAsia="Calibri" w:hAnsi="David"/>
          <w:noProof w:val="0"/>
        </w:rPr>
      </w:pPr>
      <w:r w:rsidRPr="006F6417">
        <w:rPr>
          <w:rFonts w:ascii="David" w:eastAsia="Calibri" w:hAnsi="David"/>
          <w:noProof w:val="0"/>
          <w:rtl/>
        </w:rPr>
        <w:t>נקודת המוצא</w:t>
      </w:r>
      <w:r w:rsidRPr="00E34603">
        <w:rPr>
          <w:rFonts w:ascii="David" w:eastAsia="Calibri" w:hAnsi="David"/>
          <w:noProof w:val="0"/>
          <w:rtl/>
        </w:rPr>
        <w:t xml:space="preserve"> לדיון היא כי עסקינן </w:t>
      </w:r>
      <w:r w:rsidRPr="00E34603">
        <w:rPr>
          <w:rFonts w:ascii="David" w:eastAsia="Calibri" w:hAnsi="David"/>
          <w:b/>
          <w:bCs/>
          <w:noProof w:val="0"/>
          <w:rtl/>
        </w:rPr>
        <w:t>בצוואה הדדית</w:t>
      </w:r>
      <w:r w:rsidRPr="00E34603">
        <w:rPr>
          <w:rFonts w:ascii="David" w:eastAsia="Calibri" w:hAnsi="David"/>
          <w:noProof w:val="0"/>
          <w:rtl/>
        </w:rPr>
        <w:t xml:space="preserve"> של המנוחים משנת 2005, שנערכה במסמך אחד, ובה הוריש כל אחד מהם את כל עיזבונו לבן זוג הנותר בחיים, באופן הדדי (ראו סעיף 4 לצוואה)</w:t>
      </w:r>
      <w:r w:rsidR="00A12D50">
        <w:rPr>
          <w:rFonts w:ascii="David" w:eastAsia="Calibri" w:hAnsi="David" w:hint="cs"/>
          <w:noProof w:val="0"/>
          <w:rtl/>
        </w:rPr>
        <w:t xml:space="preserve"> והיא נחתמה על ידי שניהם</w:t>
      </w:r>
      <w:r w:rsidRPr="00E34603">
        <w:rPr>
          <w:rFonts w:ascii="David" w:eastAsia="Calibri" w:hAnsi="David"/>
          <w:noProof w:val="0"/>
          <w:rtl/>
        </w:rPr>
        <w:t>.</w:t>
      </w:r>
      <w:r w:rsidR="00664EA9">
        <w:rPr>
          <w:rFonts w:ascii="David" w:eastAsia="Calibri" w:hAnsi="David" w:hint="cs"/>
          <w:noProof w:val="0"/>
          <w:rtl/>
        </w:rPr>
        <w:t xml:space="preserve"> </w:t>
      </w:r>
    </w:p>
    <w:p w:rsidR="00B2278D" w:rsidRPr="00E34603" w:rsidRDefault="00B2278D" w:rsidP="00B2278D">
      <w:pPr>
        <w:spacing w:after="160" w:line="256" w:lineRule="auto"/>
        <w:ind w:left="720"/>
        <w:contextualSpacing/>
        <w:rPr>
          <w:rFonts w:ascii="David" w:eastAsia="Calibri" w:hAnsi="David"/>
          <w:noProof w:val="0"/>
        </w:rPr>
      </w:pPr>
    </w:p>
    <w:p w:rsidR="00B2278D" w:rsidRDefault="00664EA9" w:rsidP="00A12D50">
      <w:pPr>
        <w:numPr>
          <w:ilvl w:val="0"/>
          <w:numId w:val="4"/>
        </w:numPr>
        <w:spacing w:after="160" w:line="360" w:lineRule="auto"/>
        <w:ind w:left="368"/>
        <w:contextualSpacing/>
        <w:jc w:val="both"/>
        <w:rPr>
          <w:rFonts w:ascii="David" w:eastAsia="Calibri" w:hAnsi="David"/>
          <w:noProof w:val="0"/>
        </w:rPr>
      </w:pPr>
      <w:r w:rsidRPr="00664EA9">
        <w:rPr>
          <w:rFonts w:ascii="David" w:eastAsia="Calibri" w:hAnsi="David"/>
          <w:noProof w:val="0"/>
          <w:rtl/>
        </w:rPr>
        <w:t xml:space="preserve">הדבר למעשה </w:t>
      </w:r>
      <w:r w:rsidRPr="00664EA9">
        <w:rPr>
          <w:rFonts w:ascii="David" w:eastAsia="Calibri" w:hAnsi="David"/>
          <w:b/>
          <w:bCs/>
          <w:noProof w:val="0"/>
          <w:rtl/>
        </w:rPr>
        <w:t>אינו שנוי במחלוקת</w:t>
      </w:r>
      <w:r w:rsidRPr="00664EA9">
        <w:rPr>
          <w:rFonts w:ascii="David" w:eastAsia="Calibri" w:hAnsi="David"/>
          <w:noProof w:val="0"/>
          <w:rtl/>
        </w:rPr>
        <w:t xml:space="preserve">. </w:t>
      </w:r>
      <w:r w:rsidR="00B2278D" w:rsidRPr="00E34603">
        <w:rPr>
          <w:rFonts w:ascii="David" w:eastAsia="Calibri" w:hAnsi="David"/>
          <w:noProof w:val="0"/>
          <w:rtl/>
        </w:rPr>
        <w:t>למן ראשית ההליך, כך התייחס</w:t>
      </w:r>
      <w:r w:rsidR="00A12D50">
        <w:rPr>
          <w:rFonts w:ascii="David" w:eastAsia="Calibri" w:hAnsi="David" w:hint="cs"/>
          <w:noProof w:val="0"/>
          <w:rtl/>
        </w:rPr>
        <w:t>ה</w:t>
      </w:r>
      <w:r w:rsidR="00B2278D" w:rsidRPr="00E34603">
        <w:rPr>
          <w:rFonts w:ascii="David" w:eastAsia="Calibri" w:hAnsi="David"/>
          <w:noProof w:val="0"/>
          <w:rtl/>
        </w:rPr>
        <w:t xml:space="preserve"> ב"כ היועמ"ש בעמדותי</w:t>
      </w:r>
      <w:r w:rsidR="00A12D50">
        <w:rPr>
          <w:rFonts w:ascii="David" w:eastAsia="Calibri" w:hAnsi="David" w:hint="cs"/>
          <w:noProof w:val="0"/>
          <w:rtl/>
        </w:rPr>
        <w:t>ה</w:t>
      </w:r>
      <w:r w:rsidR="00B2278D" w:rsidRPr="00E34603">
        <w:rPr>
          <w:rFonts w:ascii="David" w:eastAsia="Calibri" w:hAnsi="David"/>
          <w:noProof w:val="0"/>
          <w:rtl/>
        </w:rPr>
        <w:t xml:space="preserve"> לצוואת 2005 - כצוואה הדדית. המבקשות אף הן מתבססות בטיעוניהן על נקודת מוצא זו; ודומה כי אף המשיב עצמו מכיר בכך, ואינו חולק על היותה של הצוואה </w:t>
      </w:r>
      <w:r>
        <w:rPr>
          <w:rFonts w:ascii="David" w:eastAsia="Calibri" w:hAnsi="David"/>
          <w:noProof w:val="0"/>
          <w:rtl/>
        </w:rPr>
        <w:t>–</w:t>
      </w:r>
      <w:r>
        <w:rPr>
          <w:rFonts w:ascii="David" w:eastAsia="Calibri" w:hAnsi="David" w:hint="cs"/>
          <w:noProof w:val="0"/>
          <w:rtl/>
        </w:rPr>
        <w:t xml:space="preserve"> צוואה </w:t>
      </w:r>
      <w:r w:rsidR="00B2278D" w:rsidRPr="00E34603">
        <w:rPr>
          <w:rFonts w:ascii="David" w:eastAsia="Calibri" w:hAnsi="David"/>
          <w:noProof w:val="0"/>
          <w:rtl/>
        </w:rPr>
        <w:t>הדדית, אלא אך על ההשלכה שיש למועד בו נערכה (טרם תיקון מס' 12 לחוק הירושה) לעניין האפשרות שיש לבן הזוג הנותר בחיים לבטלה או לשנותה לאחר שירש את עזבונו של בן זוגו (ראו סעיף 3 לסיכומיו; וכן סעיף 5 לתגובתו מיום 5/1/21 בת"ע 49861-11-20).</w:t>
      </w:r>
    </w:p>
    <w:p w:rsidR="00664EA9" w:rsidRDefault="00664EA9" w:rsidP="00664EA9">
      <w:pPr>
        <w:spacing w:after="160" w:line="360" w:lineRule="auto"/>
        <w:ind w:left="368"/>
        <w:contextualSpacing/>
        <w:jc w:val="both"/>
        <w:rPr>
          <w:rFonts w:ascii="David" w:eastAsia="Calibri" w:hAnsi="David"/>
          <w:noProof w:val="0"/>
        </w:rPr>
      </w:pPr>
    </w:p>
    <w:p w:rsidR="00B2278D" w:rsidRDefault="00E34603" w:rsidP="00A12D50">
      <w:pPr>
        <w:numPr>
          <w:ilvl w:val="0"/>
          <w:numId w:val="4"/>
        </w:numPr>
        <w:spacing w:after="160" w:line="360" w:lineRule="auto"/>
        <w:ind w:left="368"/>
        <w:contextualSpacing/>
        <w:jc w:val="both"/>
        <w:rPr>
          <w:rFonts w:ascii="David" w:eastAsia="Calibri" w:hAnsi="David"/>
          <w:noProof w:val="0"/>
        </w:rPr>
      </w:pPr>
      <w:r w:rsidRPr="00E34603">
        <w:rPr>
          <w:rFonts w:ascii="David" w:eastAsia="Calibri" w:hAnsi="David"/>
          <w:noProof w:val="0"/>
          <w:rtl/>
        </w:rPr>
        <w:t xml:space="preserve">כפי שהובהר בספרות המשפטית ובפסיקה </w:t>
      </w:r>
      <w:r w:rsidRPr="00E34603">
        <w:rPr>
          <w:rFonts w:ascii="David" w:eastAsia="Calibri" w:hAnsi="David"/>
          <w:b/>
          <w:bCs/>
          <w:noProof w:val="0"/>
          <w:rtl/>
        </w:rPr>
        <w:t>צוואה הדדית</w:t>
      </w:r>
      <w:r w:rsidRPr="00E34603">
        <w:rPr>
          <w:rFonts w:ascii="David" w:eastAsia="Calibri" w:hAnsi="David"/>
          <w:noProof w:val="0"/>
          <w:rtl/>
        </w:rPr>
        <w:t xml:space="preserve"> היא צוואה משותפת אשר ההסדרים שקבע אחד המצווים בה מבוססים על ההסדרים שקבע המצווה האחר ולא היו נערכים לולא הסדרים אלה. ראו: בע"מ 4282/03 </w:t>
      </w:r>
      <w:r w:rsidRPr="00E34603">
        <w:rPr>
          <w:rFonts w:ascii="David" w:eastAsia="Calibri" w:hAnsi="David"/>
          <w:b/>
          <w:bCs/>
          <w:noProof w:val="0"/>
          <w:rtl/>
        </w:rPr>
        <w:t>אולגה לרנר נ' יעקב פייר (פליקס)</w:t>
      </w:r>
      <w:r w:rsidRPr="00E34603">
        <w:rPr>
          <w:rFonts w:ascii="David" w:eastAsia="Calibri" w:hAnsi="David"/>
          <w:noProof w:val="0"/>
          <w:rtl/>
        </w:rPr>
        <w:t> (21.06.2005)</w:t>
      </w:r>
      <w:r w:rsidR="00A12D50">
        <w:rPr>
          <w:rFonts w:ascii="David" w:eastAsia="Calibri" w:hAnsi="David" w:hint="cs"/>
          <w:noProof w:val="0"/>
          <w:rtl/>
        </w:rPr>
        <w:t xml:space="preserve"> </w:t>
      </w:r>
      <w:r w:rsidRPr="00E34603">
        <w:rPr>
          <w:rFonts w:ascii="David" w:eastAsia="Calibri" w:hAnsi="David"/>
          <w:noProof w:val="0"/>
          <w:rtl/>
        </w:rPr>
        <w:t>‏</w:t>
      </w:r>
      <w:r w:rsidR="00A12D50" w:rsidRPr="00E34603">
        <w:rPr>
          <w:rFonts w:ascii="David" w:eastAsia="Calibri" w:hAnsi="David"/>
          <w:noProof w:val="0"/>
          <w:rtl/>
        </w:rPr>
        <w:t>(להלן – "</w:t>
      </w:r>
      <w:r w:rsidR="00A12D50">
        <w:rPr>
          <w:rFonts w:ascii="David" w:eastAsia="Calibri" w:hAnsi="David" w:hint="cs"/>
          <w:b/>
          <w:bCs/>
          <w:noProof w:val="0"/>
          <w:rtl/>
        </w:rPr>
        <w:t>פרשת לרנר</w:t>
      </w:r>
      <w:r w:rsidR="00A12D50" w:rsidRPr="00E34603">
        <w:rPr>
          <w:rFonts w:ascii="David" w:eastAsia="Calibri" w:hAnsi="David"/>
          <w:noProof w:val="0"/>
          <w:rtl/>
        </w:rPr>
        <w:t>")</w:t>
      </w:r>
      <w:r w:rsidRPr="00E34603">
        <w:rPr>
          <w:rFonts w:ascii="David" w:eastAsia="Calibri" w:hAnsi="David"/>
          <w:noProof w:val="0"/>
          <w:rtl/>
        </w:rPr>
        <w:t xml:space="preserve">; א' ברק, </w:t>
      </w:r>
      <w:r w:rsidRPr="00E34603">
        <w:rPr>
          <w:rFonts w:ascii="David" w:eastAsia="Calibri" w:hAnsi="David"/>
          <w:b/>
          <w:bCs/>
          <w:noProof w:val="0"/>
          <w:rtl/>
        </w:rPr>
        <w:t>פרשנות במשפט – פרשנות הצוואה</w:t>
      </w:r>
      <w:r w:rsidRPr="00E34603">
        <w:rPr>
          <w:rFonts w:ascii="David" w:eastAsia="Calibri" w:hAnsi="David"/>
          <w:noProof w:val="0"/>
          <w:rtl/>
        </w:rPr>
        <w:t>, כרך 5 (תשס"א), 69 (להלן – "</w:t>
      </w:r>
      <w:r w:rsidRPr="00E34603">
        <w:rPr>
          <w:rFonts w:ascii="David" w:eastAsia="Calibri" w:hAnsi="David"/>
          <w:b/>
          <w:bCs/>
          <w:noProof w:val="0"/>
          <w:rtl/>
        </w:rPr>
        <w:t>פרשנות במשפט</w:t>
      </w:r>
      <w:r w:rsidRPr="00E34603">
        <w:rPr>
          <w:rFonts w:ascii="David" w:eastAsia="Calibri" w:hAnsi="David"/>
          <w:noProof w:val="0"/>
          <w:rtl/>
        </w:rPr>
        <w:t>").</w:t>
      </w:r>
    </w:p>
    <w:p w:rsidR="00B2278D" w:rsidRDefault="00B2278D" w:rsidP="00B2278D">
      <w:pPr>
        <w:spacing w:after="160" w:line="360" w:lineRule="auto"/>
        <w:ind w:left="368"/>
        <w:contextualSpacing/>
        <w:jc w:val="both"/>
        <w:rPr>
          <w:rFonts w:ascii="David" w:eastAsia="Calibri" w:hAnsi="David"/>
          <w:noProof w:val="0"/>
        </w:rPr>
      </w:pPr>
    </w:p>
    <w:p w:rsidR="00B2278D" w:rsidRPr="00B2278D" w:rsidRDefault="00B2278D" w:rsidP="00B2278D">
      <w:pPr>
        <w:numPr>
          <w:ilvl w:val="0"/>
          <w:numId w:val="4"/>
        </w:numPr>
        <w:spacing w:after="160" w:line="360" w:lineRule="auto"/>
        <w:ind w:left="368"/>
        <w:contextualSpacing/>
        <w:jc w:val="both"/>
        <w:rPr>
          <w:rFonts w:ascii="David" w:eastAsia="Calibri" w:hAnsi="David"/>
          <w:noProof w:val="0"/>
          <w:rtl/>
        </w:rPr>
      </w:pPr>
      <w:r w:rsidRPr="00B2278D">
        <w:rPr>
          <w:rFonts w:ascii="David" w:eastAsia="Calibri" w:hAnsi="David"/>
          <w:noProof w:val="0"/>
          <w:rtl/>
        </w:rPr>
        <w:t>הפסיקה עמדה על כך שבניגוד לצוואה "רגילה", הרי ש</w:t>
      </w:r>
      <w:r w:rsidRPr="00B2278D">
        <w:rPr>
          <w:rFonts w:ascii="David" w:eastAsia="Calibri" w:hAnsi="David" w:hint="cs"/>
          <w:noProof w:val="0"/>
          <w:rtl/>
        </w:rPr>
        <w:t xml:space="preserve">לגבי </w:t>
      </w:r>
      <w:r w:rsidRPr="00B2278D">
        <w:rPr>
          <w:rFonts w:ascii="David" w:eastAsia="Calibri" w:hAnsi="David"/>
          <w:noProof w:val="0"/>
          <w:rtl/>
        </w:rPr>
        <w:t xml:space="preserve">צוואות הדדיות קיימת סתירה בין שני עקרונות מרכזיים: </w:t>
      </w:r>
    </w:p>
    <w:p w:rsidR="00B2278D" w:rsidRPr="00E34603" w:rsidRDefault="00B2278D" w:rsidP="00B2278D">
      <w:pPr>
        <w:spacing w:line="360" w:lineRule="auto"/>
        <w:ind w:left="368"/>
        <w:contextualSpacing/>
        <w:jc w:val="both"/>
        <w:rPr>
          <w:rFonts w:ascii="David" w:eastAsia="Calibri" w:hAnsi="David"/>
          <w:noProof w:val="0"/>
        </w:rPr>
      </w:pPr>
    </w:p>
    <w:p w:rsidR="00B2278D" w:rsidRPr="00E34603" w:rsidRDefault="00B2278D" w:rsidP="00A12D50">
      <w:pPr>
        <w:spacing w:line="360" w:lineRule="auto"/>
        <w:ind w:left="368"/>
        <w:contextualSpacing/>
        <w:jc w:val="both"/>
        <w:rPr>
          <w:rFonts w:ascii="David" w:eastAsia="Calibri" w:hAnsi="David"/>
          <w:noProof w:val="0"/>
          <w:rtl/>
        </w:rPr>
      </w:pPr>
      <w:r w:rsidRPr="00E34603">
        <w:rPr>
          <w:rFonts w:ascii="David" w:eastAsia="Calibri" w:hAnsi="David"/>
          <w:noProof w:val="0"/>
          <w:rtl/>
        </w:rPr>
        <w:t xml:space="preserve">מחד גיסא - </w:t>
      </w:r>
      <w:r w:rsidR="00A12D50">
        <w:rPr>
          <w:rFonts w:ascii="David" w:eastAsia="Calibri" w:hAnsi="David"/>
          <w:b/>
          <w:bCs/>
          <w:noProof w:val="0"/>
          <w:rtl/>
        </w:rPr>
        <w:t xml:space="preserve">עקרון </w:t>
      </w:r>
      <w:r w:rsidRPr="00E34603">
        <w:rPr>
          <w:rFonts w:ascii="David" w:eastAsia="Calibri" w:hAnsi="David"/>
          <w:b/>
          <w:bCs/>
          <w:noProof w:val="0"/>
          <w:rtl/>
        </w:rPr>
        <w:t>החופש לצוות</w:t>
      </w:r>
      <w:r w:rsidRPr="00E34603">
        <w:rPr>
          <w:rFonts w:ascii="David" w:eastAsia="Calibri" w:hAnsi="David"/>
          <w:noProof w:val="0"/>
          <w:rtl/>
        </w:rPr>
        <w:t xml:space="preserve"> - הכולל בתוכו את החופש של המצווה לשנות את צוואתו כרצונו, בכל עת, כמצוות סעיף 27(ב) לחוק הירושה, ובהתאם לו הוראה (בצוואה או מחוצה לה) השוללת את כוחו של המצווה לשנות את הצוואה או מגבילה אותו – בטלה. כמו כן, כל הסכם בדבר ירושתו של אדם – בטל (סעיף 8 לחוק הירושה); </w:t>
      </w:r>
    </w:p>
    <w:p w:rsidR="00B2278D" w:rsidRPr="00E34603" w:rsidRDefault="00B2278D" w:rsidP="00B2278D">
      <w:pPr>
        <w:spacing w:line="360" w:lineRule="auto"/>
        <w:ind w:left="368"/>
        <w:contextualSpacing/>
        <w:jc w:val="both"/>
        <w:rPr>
          <w:rFonts w:ascii="David" w:eastAsia="Calibri" w:hAnsi="David"/>
          <w:noProof w:val="0"/>
        </w:rPr>
      </w:pPr>
    </w:p>
    <w:p w:rsidR="00B2278D" w:rsidRPr="00E34603" w:rsidRDefault="00A12D50" w:rsidP="00B2278D">
      <w:pPr>
        <w:spacing w:line="360" w:lineRule="auto"/>
        <w:ind w:left="368"/>
        <w:contextualSpacing/>
        <w:jc w:val="both"/>
        <w:rPr>
          <w:rFonts w:ascii="David" w:eastAsia="Calibri" w:hAnsi="David"/>
          <w:noProof w:val="0"/>
          <w:rtl/>
        </w:rPr>
      </w:pPr>
      <w:r>
        <w:rPr>
          <w:rFonts w:ascii="David" w:eastAsia="Calibri" w:hAnsi="David"/>
          <w:noProof w:val="0"/>
          <w:rtl/>
        </w:rPr>
        <w:t xml:space="preserve">ומאידך גיסא - </w:t>
      </w:r>
      <w:r w:rsidR="00B2278D" w:rsidRPr="00E34603">
        <w:rPr>
          <w:rFonts w:ascii="David" w:eastAsia="Calibri" w:hAnsi="David"/>
          <w:b/>
          <w:bCs/>
          <w:noProof w:val="0"/>
          <w:rtl/>
        </w:rPr>
        <w:t>עקרון ההסתמכות</w:t>
      </w:r>
      <w:r w:rsidR="00B2278D" w:rsidRPr="00E34603">
        <w:rPr>
          <w:rFonts w:ascii="David" w:eastAsia="Calibri" w:hAnsi="David"/>
          <w:noProof w:val="0"/>
          <w:rtl/>
        </w:rPr>
        <w:t xml:space="preserve"> - של כל אחד מהצדדים לצוואה הדדית, בה כל אחד מבני הזוג מצפה כי בן זוגו האחר לא ישנה את הוראותיו, בין בחייו של הנפטר הראשון ובין לאחר פטירתו. ראו: ע"א 4402/98 </w:t>
      </w:r>
      <w:r w:rsidR="00B2278D" w:rsidRPr="00E34603">
        <w:rPr>
          <w:rFonts w:ascii="David" w:eastAsia="Calibri" w:hAnsi="David"/>
          <w:b/>
          <w:bCs/>
          <w:noProof w:val="0"/>
          <w:rtl/>
        </w:rPr>
        <w:t>יצחק מלמד נ' אשכנזי סלומון</w:t>
      </w:r>
      <w:r w:rsidR="00B2278D" w:rsidRPr="00E34603">
        <w:rPr>
          <w:rFonts w:ascii="David" w:eastAsia="Calibri" w:hAnsi="David"/>
          <w:noProof w:val="0"/>
          <w:rtl/>
        </w:rPr>
        <w:t>, פ"ד נג(5) 703,  (1999) (להלן – "</w:t>
      </w:r>
      <w:r w:rsidR="00B2278D" w:rsidRPr="00E34603">
        <w:rPr>
          <w:rFonts w:ascii="David" w:eastAsia="Calibri" w:hAnsi="David"/>
          <w:b/>
          <w:bCs/>
          <w:noProof w:val="0"/>
          <w:rtl/>
        </w:rPr>
        <w:t>עניין מלמד</w:t>
      </w:r>
      <w:r w:rsidR="00B2278D" w:rsidRPr="00E34603">
        <w:rPr>
          <w:rFonts w:ascii="David" w:eastAsia="Calibri" w:hAnsi="David"/>
          <w:noProof w:val="0"/>
          <w:rtl/>
        </w:rPr>
        <w:t xml:space="preserve">"); ות"ע (משפחה י-ם) 41295-09-16 </w:t>
      </w:r>
      <w:r w:rsidR="00B2278D" w:rsidRPr="00E34603">
        <w:rPr>
          <w:rFonts w:ascii="David" w:eastAsia="Calibri" w:hAnsi="David"/>
          <w:b/>
          <w:bCs/>
          <w:noProof w:val="0"/>
          <w:rtl/>
        </w:rPr>
        <w:t>א.א נ' י.א (המנוח)</w:t>
      </w:r>
      <w:r w:rsidR="00B2278D" w:rsidRPr="00E34603">
        <w:rPr>
          <w:rFonts w:ascii="David" w:eastAsia="Calibri" w:hAnsi="David"/>
          <w:noProof w:val="0"/>
          <w:rtl/>
        </w:rPr>
        <w:t xml:space="preserve"> (15.08.2018).‏</w:t>
      </w:r>
    </w:p>
    <w:p w:rsidR="00B2278D" w:rsidRPr="00E34603" w:rsidRDefault="00B2278D" w:rsidP="00B2278D">
      <w:pPr>
        <w:spacing w:line="360" w:lineRule="auto"/>
        <w:ind w:left="368"/>
        <w:contextualSpacing/>
        <w:jc w:val="both"/>
        <w:rPr>
          <w:rFonts w:ascii="David" w:eastAsia="Calibri" w:hAnsi="David"/>
          <w:noProof w:val="0"/>
          <w:rtl/>
        </w:rPr>
      </w:pPr>
    </w:p>
    <w:p w:rsidR="00C0600D" w:rsidRDefault="00E34603" w:rsidP="001336A5">
      <w:pPr>
        <w:spacing w:line="360" w:lineRule="auto"/>
        <w:contextualSpacing/>
        <w:jc w:val="both"/>
        <w:rPr>
          <w:rFonts w:ascii="David" w:eastAsia="Calibri" w:hAnsi="David"/>
          <w:noProof w:val="0"/>
          <w:rtl/>
        </w:rPr>
      </w:pPr>
      <w:r w:rsidRPr="00E34603">
        <w:rPr>
          <w:rFonts w:ascii="David" w:eastAsia="Calibri" w:hAnsi="David"/>
          <w:b/>
          <w:bCs/>
          <w:noProof w:val="0"/>
          <w:rtl/>
        </w:rPr>
        <w:t>הדין החל ביחס לצוואות</w:t>
      </w:r>
      <w:r w:rsidR="005E1D20">
        <w:rPr>
          <w:rFonts w:ascii="David" w:eastAsia="Calibri" w:hAnsi="David" w:hint="cs"/>
          <w:b/>
          <w:bCs/>
          <w:noProof w:val="0"/>
          <w:rtl/>
        </w:rPr>
        <w:t xml:space="preserve"> הדדיות</w:t>
      </w:r>
      <w:r w:rsidRPr="00E34603">
        <w:rPr>
          <w:rFonts w:ascii="David" w:eastAsia="Calibri" w:hAnsi="David"/>
          <w:b/>
          <w:bCs/>
          <w:noProof w:val="0"/>
          <w:rtl/>
        </w:rPr>
        <w:t xml:space="preserve"> שנערכו </w:t>
      </w:r>
      <w:r w:rsidRPr="00E34603">
        <w:rPr>
          <w:rFonts w:ascii="David" w:eastAsia="Calibri" w:hAnsi="David"/>
          <w:b/>
          <w:bCs/>
          <w:noProof w:val="0"/>
          <w:u w:val="single"/>
          <w:rtl/>
        </w:rPr>
        <w:t>לפני</w:t>
      </w:r>
      <w:r w:rsidRPr="00E34603">
        <w:rPr>
          <w:rFonts w:ascii="David" w:eastAsia="Calibri" w:hAnsi="David"/>
          <w:b/>
          <w:bCs/>
          <w:noProof w:val="0"/>
          <w:rtl/>
        </w:rPr>
        <w:t xml:space="preserve"> תיקון מס' 12</w:t>
      </w:r>
    </w:p>
    <w:p w:rsidR="00E34603" w:rsidRPr="00E34603" w:rsidRDefault="00E34603" w:rsidP="00E34603">
      <w:pPr>
        <w:spacing w:line="360" w:lineRule="auto"/>
        <w:jc w:val="both"/>
        <w:rPr>
          <w:rFonts w:ascii="David" w:eastAsia="Calibri" w:hAnsi="David"/>
          <w:b/>
          <w:bCs/>
          <w:noProof w:val="0"/>
          <w:rtl/>
        </w:rPr>
      </w:pPr>
    </w:p>
    <w:p w:rsidR="00E34603" w:rsidRPr="00E34603" w:rsidRDefault="00E34603" w:rsidP="00E34603">
      <w:pPr>
        <w:numPr>
          <w:ilvl w:val="0"/>
          <w:numId w:val="4"/>
        </w:numPr>
        <w:spacing w:after="160" w:line="360" w:lineRule="auto"/>
        <w:ind w:left="368"/>
        <w:contextualSpacing/>
        <w:jc w:val="both"/>
        <w:rPr>
          <w:rFonts w:ascii="David" w:eastAsia="Calibri" w:hAnsi="David"/>
          <w:noProof w:val="0"/>
        </w:rPr>
      </w:pPr>
      <w:r w:rsidRPr="00E34603">
        <w:rPr>
          <w:rFonts w:ascii="David" w:eastAsia="Calibri" w:hAnsi="David"/>
          <w:b/>
          <w:bCs/>
          <w:noProof w:val="0"/>
          <w:rtl/>
        </w:rPr>
        <w:t>עובר לתיקון לחוק</w:t>
      </w:r>
      <w:r w:rsidRPr="00E34603">
        <w:rPr>
          <w:rFonts w:ascii="David" w:eastAsia="Calibri" w:hAnsi="David"/>
          <w:noProof w:val="0"/>
          <w:rtl/>
        </w:rPr>
        <w:t>, גישת ביהמ"ש העליון הייתה שהוראות חוק הירושה, ועקרון "</w:t>
      </w:r>
      <w:r w:rsidRPr="00E34603">
        <w:rPr>
          <w:rFonts w:ascii="David" w:eastAsia="Calibri" w:hAnsi="David"/>
          <w:b/>
          <w:bCs/>
          <w:noProof w:val="0"/>
          <w:rtl/>
        </w:rPr>
        <w:t>החופש לצוות</w:t>
      </w:r>
      <w:r w:rsidRPr="00E34603">
        <w:rPr>
          <w:rFonts w:ascii="David" w:eastAsia="Calibri" w:hAnsi="David"/>
          <w:noProof w:val="0"/>
          <w:rtl/>
        </w:rPr>
        <w:t xml:space="preserve">" העומד ביסודו, חלים באותה מידה גם בצוואה רגילה וגם בצוואות הדדיות, ובהתאם לכך, </w:t>
      </w:r>
      <w:r w:rsidRPr="00E34603">
        <w:rPr>
          <w:rFonts w:ascii="David" w:eastAsia="Calibri" w:hAnsi="David"/>
          <w:b/>
          <w:bCs/>
          <w:noProof w:val="0"/>
          <w:rtl/>
        </w:rPr>
        <w:t>רשאי כל מצווה לבטל בכל עת את צוואתו הקודמת</w:t>
      </w:r>
      <w:r w:rsidRPr="00E34603">
        <w:rPr>
          <w:rFonts w:ascii="David" w:eastAsia="Calibri" w:hAnsi="David"/>
          <w:noProof w:val="0"/>
          <w:rtl/>
        </w:rPr>
        <w:t xml:space="preserve">, גם אם מדובר בצוואה הדדית. ראו למשל: ע"א 290/78 </w:t>
      </w:r>
      <w:r w:rsidRPr="00E34603">
        <w:rPr>
          <w:rFonts w:ascii="David" w:eastAsia="Calibri" w:hAnsi="David"/>
          <w:b/>
          <w:bCs/>
          <w:noProof w:val="0"/>
          <w:rtl/>
        </w:rPr>
        <w:t>עוזיאל וינשנקר נ' אליאס אדלמן</w:t>
      </w:r>
      <w:r w:rsidRPr="00E34603">
        <w:rPr>
          <w:rFonts w:ascii="David" w:eastAsia="Calibri" w:hAnsi="David"/>
          <w:noProof w:val="0"/>
          <w:rtl/>
        </w:rPr>
        <w:t>, פ"ד לד(1) 122 (1979)‏‏ (להלן – "</w:t>
      </w:r>
      <w:r w:rsidRPr="00E34603">
        <w:rPr>
          <w:rFonts w:ascii="David" w:eastAsia="Calibri" w:hAnsi="David"/>
          <w:b/>
          <w:bCs/>
          <w:noProof w:val="0"/>
          <w:rtl/>
        </w:rPr>
        <w:t>עניין וינשנקר</w:t>
      </w:r>
      <w:r w:rsidRPr="00E34603">
        <w:rPr>
          <w:rFonts w:ascii="David" w:eastAsia="Calibri" w:hAnsi="David"/>
          <w:noProof w:val="0"/>
          <w:rtl/>
        </w:rPr>
        <w:t>").</w:t>
      </w:r>
    </w:p>
    <w:p w:rsidR="00E34603" w:rsidRPr="00E34603" w:rsidRDefault="00E34603" w:rsidP="00E34603">
      <w:pPr>
        <w:spacing w:line="360" w:lineRule="auto"/>
        <w:ind w:left="368"/>
        <w:contextualSpacing/>
        <w:jc w:val="both"/>
        <w:rPr>
          <w:rFonts w:ascii="David" w:eastAsia="Calibri" w:hAnsi="David"/>
          <w:noProof w:val="0"/>
        </w:rPr>
      </w:pPr>
    </w:p>
    <w:p w:rsidR="00E34603" w:rsidRPr="00E34603" w:rsidRDefault="00E34603" w:rsidP="00E34603">
      <w:pPr>
        <w:numPr>
          <w:ilvl w:val="0"/>
          <w:numId w:val="4"/>
        </w:numPr>
        <w:spacing w:after="160" w:line="360" w:lineRule="auto"/>
        <w:ind w:left="368"/>
        <w:contextualSpacing/>
        <w:jc w:val="both"/>
        <w:rPr>
          <w:rFonts w:ascii="David" w:eastAsia="Calibri" w:hAnsi="David"/>
          <w:noProof w:val="0"/>
        </w:rPr>
      </w:pPr>
      <w:r w:rsidRPr="00E34603">
        <w:rPr>
          <w:rFonts w:ascii="David" w:eastAsia="Calibri" w:hAnsi="David"/>
          <w:noProof w:val="0"/>
          <w:rtl/>
        </w:rPr>
        <w:t>כפי שנקבע לעניין זה בע"א 576/72 </w:t>
      </w:r>
      <w:r w:rsidRPr="00E34603">
        <w:rPr>
          <w:rFonts w:ascii="David" w:eastAsia="Calibri" w:hAnsi="David"/>
          <w:b/>
          <w:bCs/>
          <w:noProof w:val="0"/>
          <w:rtl/>
        </w:rPr>
        <w:t>משה שפיר נ' צבי אריה שפיר</w:t>
      </w:r>
      <w:r w:rsidRPr="00E34603">
        <w:rPr>
          <w:rFonts w:ascii="David" w:eastAsia="Calibri" w:hAnsi="David"/>
          <w:noProof w:val="0"/>
        </w:rPr>
        <w:t>,</w:t>
      </w:r>
      <w:r w:rsidRPr="00E34603">
        <w:rPr>
          <w:rFonts w:ascii="David" w:eastAsia="Calibri" w:hAnsi="David"/>
          <w:noProof w:val="0"/>
          <w:rtl/>
        </w:rPr>
        <w:t xml:space="preserve"> פ"ד כז(2) 373 (1973)</w:t>
      </w:r>
      <w:r w:rsidR="0056603B">
        <w:rPr>
          <w:rFonts w:ascii="David" w:eastAsia="Calibri" w:hAnsi="David" w:hint="cs"/>
          <w:noProof w:val="0"/>
          <w:rtl/>
        </w:rPr>
        <w:t xml:space="preserve"> (להלן- "</w:t>
      </w:r>
      <w:r w:rsidR="0056603B" w:rsidRPr="0056603B">
        <w:rPr>
          <w:rFonts w:ascii="David" w:eastAsia="Calibri" w:hAnsi="David" w:hint="cs"/>
          <w:b/>
          <w:bCs/>
          <w:noProof w:val="0"/>
          <w:rtl/>
        </w:rPr>
        <w:t>עניין שפיר</w:t>
      </w:r>
      <w:r w:rsidR="0056603B">
        <w:rPr>
          <w:rFonts w:ascii="David" w:eastAsia="Calibri" w:hAnsi="David" w:hint="cs"/>
          <w:noProof w:val="0"/>
          <w:rtl/>
        </w:rPr>
        <w:t>")</w:t>
      </w:r>
      <w:r w:rsidRPr="00E34603">
        <w:rPr>
          <w:rFonts w:ascii="David" w:eastAsia="Calibri" w:hAnsi="David"/>
          <w:noProof w:val="0"/>
          <w:rtl/>
        </w:rPr>
        <w:t>: "</w:t>
      </w:r>
      <w:r w:rsidRPr="00E34603">
        <w:rPr>
          <w:rFonts w:ascii="David" w:eastAsia="Calibri" w:hAnsi="David"/>
          <w:b/>
          <w:bCs/>
          <w:noProof w:val="0"/>
          <w:rtl/>
        </w:rPr>
        <w:t>אכן. אצלנו המחוקק לא קבע מוסד של צוואות הדדיות, וכן לא קבע צורתן ותוצאתן, וכן קבע במפורש שהסכם בדבר ירושתו של אדם שנעשה בחייו של אותו אדם - בטל (סעיף 8 לחוק הירושה). אבל, אין מניעה ששני בני-אדם יעשו צוואות. האחד לטובת חברו ובעיקר מקובל הדבר בין בני-זוג. אין פסול בעריכת צוואות כאלה, אך כל אחד מן המצווים חפשי לשנות את צוואתו עד ליום פטירתו. ואין דין מיוחד למקרה ששני אנשים עורכים צוואות, האחד לטובת רעהו</w:t>
      </w:r>
      <w:r w:rsidRPr="00E34603">
        <w:rPr>
          <w:rFonts w:ascii="David" w:eastAsia="Calibri" w:hAnsi="David"/>
          <w:noProof w:val="0"/>
        </w:rPr>
        <w:t>."</w:t>
      </w:r>
    </w:p>
    <w:p w:rsidR="00E34603" w:rsidRPr="00E34603" w:rsidRDefault="00E34603" w:rsidP="00E34603">
      <w:pPr>
        <w:spacing w:after="160" w:line="256" w:lineRule="auto"/>
        <w:ind w:left="368"/>
        <w:contextualSpacing/>
        <w:rPr>
          <w:rFonts w:ascii="David" w:eastAsia="Calibri" w:hAnsi="David"/>
          <w:noProof w:val="0"/>
        </w:rPr>
      </w:pPr>
    </w:p>
    <w:p w:rsidR="00E34603" w:rsidRPr="00E34603" w:rsidRDefault="00E34603" w:rsidP="00A12D50">
      <w:pPr>
        <w:numPr>
          <w:ilvl w:val="0"/>
          <w:numId w:val="4"/>
        </w:numPr>
        <w:spacing w:after="160" w:line="360" w:lineRule="auto"/>
        <w:ind w:left="368"/>
        <w:contextualSpacing/>
        <w:jc w:val="both"/>
        <w:rPr>
          <w:rFonts w:ascii="David" w:eastAsia="Calibri" w:hAnsi="David"/>
          <w:noProof w:val="0"/>
        </w:rPr>
      </w:pPr>
      <w:r w:rsidRPr="00E34603">
        <w:rPr>
          <w:rFonts w:ascii="David" w:eastAsia="Calibri" w:hAnsi="David"/>
          <w:noProof w:val="0"/>
          <w:rtl/>
        </w:rPr>
        <w:t xml:space="preserve">בפסיקה ובספרות המשפטית נמתחה ביקורת על עמדה זו, בשים לב לייחודיות של צוואה </w:t>
      </w:r>
      <w:r w:rsidR="00A12D50">
        <w:rPr>
          <w:rFonts w:ascii="David" w:eastAsia="Calibri" w:hAnsi="David"/>
          <w:noProof w:val="0"/>
          <w:rtl/>
        </w:rPr>
        <w:t>הדדית, הבאה לידי ביטוי כאמור, ב</w:t>
      </w:r>
      <w:r w:rsidRPr="00E34603">
        <w:rPr>
          <w:rFonts w:ascii="David" w:eastAsia="Calibri" w:hAnsi="David"/>
          <w:b/>
          <w:bCs/>
          <w:noProof w:val="0"/>
          <w:rtl/>
        </w:rPr>
        <w:t>עקרון ההסתמכות</w:t>
      </w:r>
      <w:r w:rsidRPr="00E34603">
        <w:rPr>
          <w:rFonts w:ascii="David" w:eastAsia="Calibri" w:hAnsi="David"/>
          <w:noProof w:val="0"/>
          <w:rtl/>
        </w:rPr>
        <w:t xml:space="preserve"> של בני הזוג המצווים הדדית את רכושם ה</w:t>
      </w:r>
      <w:r w:rsidR="00A12D50">
        <w:rPr>
          <w:rFonts w:ascii="David" w:eastAsia="Calibri" w:hAnsi="David"/>
          <w:noProof w:val="0"/>
          <w:rtl/>
        </w:rPr>
        <w:t xml:space="preserve">אחד לשני, הראוי לגבור על </w:t>
      </w:r>
      <w:r w:rsidR="00A12D50" w:rsidRPr="00A12D50">
        <w:rPr>
          <w:rFonts w:ascii="David" w:eastAsia="Calibri" w:hAnsi="David"/>
          <w:b/>
          <w:bCs/>
          <w:noProof w:val="0"/>
          <w:rtl/>
        </w:rPr>
        <w:t xml:space="preserve">עקרון </w:t>
      </w:r>
      <w:r w:rsidRPr="00A12D50">
        <w:rPr>
          <w:rFonts w:ascii="David" w:eastAsia="Calibri" w:hAnsi="David"/>
          <w:b/>
          <w:bCs/>
          <w:noProof w:val="0"/>
          <w:rtl/>
        </w:rPr>
        <w:t>החופש לצוות</w:t>
      </w:r>
      <w:r w:rsidRPr="00E34603">
        <w:rPr>
          <w:rFonts w:ascii="David" w:eastAsia="Calibri" w:hAnsi="David"/>
          <w:noProof w:val="0"/>
          <w:rtl/>
        </w:rPr>
        <w:t xml:space="preserve"> המקובל בצוואה "רגילה" - בה אין כל אינטרס הסתמכות הראוי להגנה (לא של היורשים ואף לא של המוריש). </w:t>
      </w:r>
    </w:p>
    <w:p w:rsidR="00E34603" w:rsidRPr="00E34603" w:rsidRDefault="00E34603" w:rsidP="00E34603">
      <w:pPr>
        <w:spacing w:after="160" w:line="256" w:lineRule="auto"/>
        <w:ind w:left="720"/>
        <w:contextualSpacing/>
        <w:rPr>
          <w:rFonts w:ascii="David" w:eastAsia="Calibri" w:hAnsi="David"/>
          <w:noProof w:val="0"/>
        </w:rPr>
      </w:pPr>
    </w:p>
    <w:p w:rsidR="00E34603" w:rsidRDefault="00E34603" w:rsidP="007272D7">
      <w:pPr>
        <w:numPr>
          <w:ilvl w:val="0"/>
          <w:numId w:val="4"/>
        </w:numPr>
        <w:spacing w:after="160" w:line="360" w:lineRule="auto"/>
        <w:ind w:left="368"/>
        <w:contextualSpacing/>
        <w:jc w:val="both"/>
        <w:rPr>
          <w:rFonts w:ascii="David" w:eastAsia="Calibri" w:hAnsi="David"/>
          <w:noProof w:val="0"/>
        </w:rPr>
      </w:pPr>
      <w:r w:rsidRPr="00E34603">
        <w:rPr>
          <w:rFonts w:ascii="David" w:eastAsia="Calibri" w:hAnsi="David"/>
          <w:noProof w:val="0"/>
          <w:rtl/>
        </w:rPr>
        <w:t xml:space="preserve">באמרת אגב בעניין </w:t>
      </w:r>
      <w:r w:rsidRPr="0056603B">
        <w:rPr>
          <w:rFonts w:ascii="David" w:eastAsia="Calibri" w:hAnsi="David"/>
          <w:noProof w:val="0"/>
          <w:rtl/>
        </w:rPr>
        <w:t>מלמד</w:t>
      </w:r>
      <w:r w:rsidR="008D714C">
        <w:rPr>
          <w:rFonts w:ascii="David" w:eastAsia="Calibri" w:hAnsi="David" w:hint="cs"/>
          <w:noProof w:val="0"/>
          <w:rtl/>
        </w:rPr>
        <w:t xml:space="preserve">, קודם לתיקון </w:t>
      </w:r>
      <w:r w:rsidR="00375BCE">
        <w:rPr>
          <w:rFonts w:ascii="David" w:eastAsia="Calibri" w:hAnsi="David" w:hint="cs"/>
          <w:noProof w:val="0"/>
          <w:rtl/>
        </w:rPr>
        <w:t>חוק</w:t>
      </w:r>
      <w:r w:rsidR="008D714C">
        <w:rPr>
          <w:rFonts w:ascii="David" w:eastAsia="Calibri" w:hAnsi="David" w:hint="cs"/>
          <w:noProof w:val="0"/>
          <w:rtl/>
        </w:rPr>
        <w:t xml:space="preserve"> הירושה</w:t>
      </w:r>
      <w:r w:rsidR="00375BCE">
        <w:rPr>
          <w:rFonts w:ascii="David" w:eastAsia="Calibri" w:hAnsi="David" w:hint="cs"/>
          <w:noProof w:val="0"/>
          <w:rtl/>
        </w:rPr>
        <w:t xml:space="preserve">, </w:t>
      </w:r>
      <w:r w:rsidRPr="00E34603">
        <w:rPr>
          <w:rFonts w:ascii="David" w:eastAsia="Calibri" w:hAnsi="David"/>
          <w:noProof w:val="0"/>
          <w:rtl/>
        </w:rPr>
        <w:t xml:space="preserve">הביע כב' הש' ברק (כתוארו דאז) הסתייגות מפסק הדין בעניין </w:t>
      </w:r>
      <w:r w:rsidRPr="0056603B">
        <w:rPr>
          <w:rFonts w:ascii="David" w:eastAsia="Calibri" w:hAnsi="David"/>
          <w:noProof w:val="0"/>
          <w:rtl/>
        </w:rPr>
        <w:t>שפיר</w:t>
      </w:r>
      <w:r w:rsidRPr="00E34603">
        <w:rPr>
          <w:rFonts w:ascii="David" w:eastAsia="Calibri" w:hAnsi="David"/>
          <w:noProof w:val="0"/>
          <w:rtl/>
        </w:rPr>
        <w:t xml:space="preserve">, </w:t>
      </w:r>
      <w:r w:rsidR="007272D7">
        <w:rPr>
          <w:rFonts w:ascii="David" w:eastAsia="Calibri" w:hAnsi="David" w:hint="cs"/>
          <w:noProof w:val="0"/>
          <w:rtl/>
        </w:rPr>
        <w:t>וסבר כי:</w:t>
      </w:r>
      <w:r w:rsidRPr="00E34603">
        <w:rPr>
          <w:rFonts w:ascii="David" w:eastAsia="Calibri" w:hAnsi="David"/>
          <w:b/>
          <w:bCs/>
          <w:noProof w:val="0"/>
          <w:rtl/>
        </w:rPr>
        <w:t xml:space="preserve"> </w:t>
      </w:r>
      <w:r w:rsidR="007272D7">
        <w:rPr>
          <w:rFonts w:ascii="David" w:eastAsia="Calibri" w:hAnsi="David" w:hint="cs"/>
          <w:b/>
          <w:bCs/>
          <w:noProof w:val="0"/>
          <w:rtl/>
        </w:rPr>
        <w:t>"...</w:t>
      </w:r>
      <w:r w:rsidRPr="00E34603">
        <w:rPr>
          <w:rFonts w:ascii="David" w:eastAsia="Calibri" w:hAnsi="David"/>
          <w:b/>
          <w:bCs/>
          <w:noProof w:val="0"/>
          <w:rtl/>
        </w:rPr>
        <w:t xml:space="preserve">בצוואה משותפת והדדית עניין לנו בגמירת-דעת של שני מצווים הפועלים במשותף ובאופן הדדי. האין זה ראוי לקבוע כי עם מותו של מצווה אחד בצוואה משותפת והדדית אין המצווה השני יכול לחזור בו מצוואתו המשותפת וההדדית? אכן, שיטות משפט המכירות בצוואה משותפת והדדית קובעות כי כוח החזרה של המצווה מוגבל הוא .... המשפט הישראלי אינו מכיר בכך (סעיף 8(א) לחוק הירושה). על רקע זה מתעוררת השאלה מה הדין בישראל. ... תוצאה זו קשה היא. במשפט המקובל האנגלי התגברו על קושי זה בעזרת מוסד הנאמנות: עם מותו של מצווה אחד מבין שני מצווים משותפים והדדיים, הופך המצווה השני לנאמן. ייתכן גם שניתן לקבוע בישראל, כי לאור אינטרס ההסתמכות, ביטול הצוואה השנייה </w:t>
      </w:r>
      <w:r w:rsidRPr="00E34603">
        <w:rPr>
          <w:rFonts w:ascii="David" w:eastAsia="Calibri" w:hAnsi="David"/>
          <w:b/>
          <w:bCs/>
          <w:noProof w:val="0"/>
          <w:rtl/>
        </w:rPr>
        <w:lastRenderedPageBreak/>
        <w:t>הינו פעולה שלא בתום-לב, בניגוד להוראת סעיף 39 לחוק החוזים (חלק כללי), תשל"ג-1973, החלה גם על פעולה משפטית (כמו צוואה) שאינה בבחינת חוזה (סעיף 61(ב) לחוק החוזים (חלק כללי)).".</w:t>
      </w:r>
      <w:r w:rsidRPr="00E34603">
        <w:rPr>
          <w:rFonts w:ascii="David" w:eastAsia="Calibri" w:hAnsi="David"/>
          <w:noProof w:val="0"/>
          <w:rtl/>
        </w:rPr>
        <w:t xml:space="preserve"> יחד עם זאת, השאיר בית המשפט שם </w:t>
      </w:r>
      <w:r w:rsidRPr="005E1D20">
        <w:rPr>
          <w:rFonts w:ascii="David" w:eastAsia="Calibri" w:hAnsi="David"/>
          <w:b/>
          <w:bCs/>
          <w:noProof w:val="0"/>
          <w:rtl/>
        </w:rPr>
        <w:t>בצריך עיון</w:t>
      </w:r>
      <w:r w:rsidRPr="00E34603">
        <w:rPr>
          <w:rFonts w:ascii="David" w:eastAsia="Calibri" w:hAnsi="David"/>
          <w:noProof w:val="0"/>
          <w:rtl/>
        </w:rPr>
        <w:t xml:space="preserve"> את ההכרעה</w:t>
      </w:r>
      <w:r w:rsidR="00375BCE">
        <w:rPr>
          <w:rFonts w:ascii="David" w:eastAsia="Calibri" w:hAnsi="David" w:hint="cs"/>
          <w:noProof w:val="0"/>
          <w:rtl/>
        </w:rPr>
        <w:t xml:space="preserve"> לעניין זה</w:t>
      </w:r>
      <w:r w:rsidRPr="00E34603">
        <w:rPr>
          <w:rFonts w:ascii="David" w:eastAsia="Calibri" w:hAnsi="David"/>
          <w:noProof w:val="0"/>
          <w:rtl/>
        </w:rPr>
        <w:t>, הואיל ו</w:t>
      </w:r>
      <w:r w:rsidR="00375BCE">
        <w:rPr>
          <w:rFonts w:ascii="David" w:eastAsia="Calibri" w:hAnsi="David" w:hint="cs"/>
          <w:noProof w:val="0"/>
          <w:rtl/>
        </w:rPr>
        <w:t xml:space="preserve">בנסיבות העניין </w:t>
      </w:r>
      <w:r w:rsidRPr="00E34603">
        <w:rPr>
          <w:rFonts w:ascii="David" w:eastAsia="Calibri" w:hAnsi="David"/>
          <w:noProof w:val="0"/>
          <w:rtl/>
        </w:rPr>
        <w:t>שם לשון הצוואה הצביעה על כך שנשמרה הזכות לשנות את הצוואה.</w:t>
      </w:r>
    </w:p>
    <w:p w:rsidR="00375BCE" w:rsidRDefault="00375BCE" w:rsidP="00375BCE">
      <w:pPr>
        <w:spacing w:after="160" w:line="360" w:lineRule="auto"/>
        <w:ind w:left="368"/>
        <w:contextualSpacing/>
        <w:jc w:val="both"/>
        <w:rPr>
          <w:rFonts w:ascii="David" w:eastAsia="Calibri" w:hAnsi="David"/>
          <w:noProof w:val="0"/>
        </w:rPr>
      </w:pPr>
    </w:p>
    <w:p w:rsidR="00375BCE" w:rsidRDefault="00375BCE" w:rsidP="005E1D20">
      <w:pPr>
        <w:numPr>
          <w:ilvl w:val="0"/>
          <w:numId w:val="4"/>
        </w:numPr>
        <w:spacing w:after="160" w:line="360" w:lineRule="auto"/>
        <w:ind w:left="368"/>
        <w:contextualSpacing/>
        <w:jc w:val="both"/>
        <w:rPr>
          <w:rFonts w:ascii="David" w:eastAsia="Calibri" w:hAnsi="David"/>
          <w:noProof w:val="0"/>
        </w:rPr>
      </w:pPr>
      <w:r w:rsidRPr="00E34603">
        <w:rPr>
          <w:rFonts w:ascii="David" w:eastAsia="Calibri" w:hAnsi="David"/>
          <w:noProof w:val="0"/>
          <w:rtl/>
        </w:rPr>
        <w:t xml:space="preserve">בספרו </w:t>
      </w:r>
      <w:r w:rsidRPr="0056603B">
        <w:rPr>
          <w:rFonts w:ascii="David" w:eastAsia="Calibri" w:hAnsi="David"/>
          <w:noProof w:val="0"/>
          <w:rtl/>
        </w:rPr>
        <w:t>פרשנות במשפט</w:t>
      </w:r>
      <w:r w:rsidRPr="00E34603">
        <w:rPr>
          <w:rFonts w:ascii="David" w:eastAsia="Calibri" w:hAnsi="David"/>
          <w:noProof w:val="0"/>
          <w:rtl/>
        </w:rPr>
        <w:t xml:space="preserve"> כב' השופט ברק </w:t>
      </w:r>
      <w:r w:rsidR="005E1D20" w:rsidRPr="00E34603">
        <w:rPr>
          <w:rFonts w:ascii="David" w:eastAsia="Calibri" w:hAnsi="David"/>
          <w:noProof w:val="0"/>
          <w:rtl/>
        </w:rPr>
        <w:t xml:space="preserve">קרא </w:t>
      </w:r>
      <w:r w:rsidRPr="00E34603">
        <w:rPr>
          <w:rFonts w:ascii="David" w:eastAsia="Calibri" w:hAnsi="David"/>
          <w:noProof w:val="0"/>
          <w:rtl/>
        </w:rPr>
        <w:t xml:space="preserve">למחוקק לנקוט לעניין זה עמדה ברורה, קריאה שלימים נענתה בתיקון מס' 12 וחקיקת סעיף </w:t>
      </w:r>
      <w:r w:rsidR="006B28B5">
        <w:rPr>
          <w:rFonts w:ascii="David" w:eastAsia="Calibri" w:hAnsi="David"/>
          <w:noProof w:val="0"/>
          <w:rtl/>
        </w:rPr>
        <w:t>8א</w:t>
      </w:r>
      <w:r w:rsidRPr="00E34603">
        <w:rPr>
          <w:rFonts w:ascii="David" w:eastAsia="Calibri" w:hAnsi="David"/>
          <w:noProof w:val="0"/>
          <w:rtl/>
        </w:rPr>
        <w:t xml:space="preserve"> לחוק הירושה. ראו: ברק, עמ' 71-72.</w:t>
      </w:r>
    </w:p>
    <w:p w:rsidR="0009014E" w:rsidRDefault="0009014E" w:rsidP="0009014E">
      <w:pPr>
        <w:pStyle w:val="ae"/>
        <w:rPr>
          <w:rFonts w:ascii="David" w:eastAsia="Calibri" w:hAnsi="David"/>
          <w:noProof w:val="0"/>
          <w:rtl/>
        </w:rPr>
      </w:pPr>
    </w:p>
    <w:p w:rsidR="0009014E" w:rsidRDefault="0009014E" w:rsidP="006F6417">
      <w:pPr>
        <w:numPr>
          <w:ilvl w:val="0"/>
          <w:numId w:val="4"/>
        </w:numPr>
        <w:spacing w:after="160" w:line="360" w:lineRule="auto"/>
        <w:ind w:left="368"/>
        <w:contextualSpacing/>
        <w:jc w:val="both"/>
        <w:rPr>
          <w:rFonts w:ascii="David" w:eastAsia="Calibri" w:hAnsi="David"/>
          <w:b/>
          <w:bCs/>
          <w:noProof w:val="0"/>
        </w:rPr>
      </w:pPr>
      <w:r w:rsidRPr="0009014E">
        <w:rPr>
          <w:rFonts w:ascii="David" w:eastAsia="Calibri" w:hAnsi="David" w:hint="cs"/>
          <w:noProof w:val="0"/>
          <w:rtl/>
        </w:rPr>
        <w:t xml:space="preserve">ואכן </w:t>
      </w:r>
      <w:r w:rsidRPr="0009014E">
        <w:rPr>
          <w:rFonts w:ascii="David" w:eastAsia="Calibri" w:hAnsi="David"/>
          <w:noProof w:val="0"/>
          <w:rtl/>
        </w:rPr>
        <w:t>ביום 1.8.2005</w:t>
      </w:r>
      <w:r w:rsidRPr="0009014E">
        <w:rPr>
          <w:rFonts w:ascii="David" w:eastAsia="Calibri" w:hAnsi="David" w:hint="cs"/>
          <w:b/>
          <w:bCs/>
          <w:noProof w:val="0"/>
          <w:rtl/>
        </w:rPr>
        <w:t xml:space="preserve"> </w:t>
      </w:r>
      <w:r w:rsidRPr="0009014E">
        <w:rPr>
          <w:rFonts w:ascii="David" w:eastAsia="Calibri" w:hAnsi="David"/>
          <w:noProof w:val="0"/>
          <w:rtl/>
        </w:rPr>
        <w:t xml:space="preserve">פורסם </w:t>
      </w:r>
      <w:r w:rsidRPr="0009014E">
        <w:rPr>
          <w:rFonts w:ascii="David" w:eastAsia="Calibri" w:hAnsi="David" w:hint="cs"/>
          <w:noProof w:val="0"/>
          <w:rtl/>
        </w:rPr>
        <w:t xml:space="preserve">ברשומות </w:t>
      </w:r>
      <w:r w:rsidRPr="0009014E">
        <w:rPr>
          <w:rFonts w:ascii="David" w:eastAsia="Calibri" w:hAnsi="David" w:hint="cs"/>
          <w:b/>
          <w:bCs/>
          <w:noProof w:val="0"/>
          <w:rtl/>
        </w:rPr>
        <w:t xml:space="preserve">תיקון מס' 12 לחוק הירושה, </w:t>
      </w:r>
      <w:r w:rsidRPr="0009014E">
        <w:rPr>
          <w:rFonts w:ascii="David" w:eastAsia="Calibri" w:hAnsi="David" w:hint="cs"/>
          <w:noProof w:val="0"/>
          <w:rtl/>
        </w:rPr>
        <w:t xml:space="preserve">אשר במסגרתו הוספה הוראת סעיף </w:t>
      </w:r>
      <w:r w:rsidR="006B28B5">
        <w:rPr>
          <w:rFonts w:ascii="David" w:eastAsia="Calibri" w:hAnsi="David" w:hint="cs"/>
          <w:noProof w:val="0"/>
          <w:rtl/>
        </w:rPr>
        <w:t>8א</w:t>
      </w:r>
      <w:r w:rsidRPr="0009014E">
        <w:rPr>
          <w:rFonts w:ascii="David" w:eastAsia="Calibri" w:hAnsi="David" w:hint="cs"/>
          <w:noProof w:val="0"/>
          <w:rtl/>
        </w:rPr>
        <w:t xml:space="preserve"> לחוק הירושה, ה</w:t>
      </w:r>
      <w:r w:rsidRPr="0009014E">
        <w:rPr>
          <w:rFonts w:ascii="David" w:eastAsia="Calibri" w:hAnsi="David"/>
          <w:noProof w:val="0"/>
          <w:rtl/>
        </w:rPr>
        <w:t xml:space="preserve">קובעת "כברירת מחדל" כי </w:t>
      </w:r>
      <w:r w:rsidRPr="0009014E">
        <w:rPr>
          <w:rFonts w:ascii="David" w:eastAsia="Calibri" w:hAnsi="David" w:hint="cs"/>
          <w:noProof w:val="0"/>
          <w:rtl/>
        </w:rPr>
        <w:t xml:space="preserve">צוואה הדדית </w:t>
      </w:r>
      <w:r w:rsidRPr="0009014E">
        <w:rPr>
          <w:rFonts w:ascii="David" w:eastAsia="Calibri" w:hAnsi="David"/>
          <w:noProof w:val="0"/>
          <w:rtl/>
        </w:rPr>
        <w:t xml:space="preserve">אינה ניתנת לשינוי או ביטול, אלא בהתקיים התנאים שנקבעו בסעיף </w:t>
      </w:r>
      <w:r w:rsidR="006B28B5">
        <w:rPr>
          <w:rFonts w:ascii="David" w:eastAsia="Calibri" w:hAnsi="David"/>
          <w:noProof w:val="0"/>
          <w:rtl/>
        </w:rPr>
        <w:t>8א</w:t>
      </w:r>
      <w:r w:rsidRPr="0009014E">
        <w:rPr>
          <w:rFonts w:ascii="David" w:eastAsia="Calibri" w:hAnsi="David"/>
          <w:noProof w:val="0"/>
          <w:rtl/>
        </w:rPr>
        <w:t xml:space="preserve">(ב) לחוק, וככל שאין בצוואות ההדדיות הוראה אחרת (סעיף </w:t>
      </w:r>
      <w:r w:rsidR="006B28B5">
        <w:rPr>
          <w:rFonts w:ascii="David" w:eastAsia="Calibri" w:hAnsi="David"/>
          <w:noProof w:val="0"/>
          <w:rtl/>
        </w:rPr>
        <w:t>8א</w:t>
      </w:r>
      <w:r w:rsidRPr="0009014E">
        <w:rPr>
          <w:rFonts w:ascii="David" w:eastAsia="Calibri" w:hAnsi="David"/>
          <w:noProof w:val="0"/>
          <w:rtl/>
        </w:rPr>
        <w:t>(ג) לחוק).</w:t>
      </w:r>
    </w:p>
    <w:p w:rsidR="00752498" w:rsidRDefault="00752498" w:rsidP="00752498">
      <w:pPr>
        <w:pStyle w:val="ae"/>
        <w:rPr>
          <w:rFonts w:ascii="David" w:eastAsia="Calibri" w:hAnsi="David"/>
          <w:b/>
          <w:bCs/>
          <w:noProof w:val="0"/>
          <w:rtl/>
        </w:rPr>
      </w:pPr>
    </w:p>
    <w:p w:rsidR="00752498" w:rsidRPr="00A94BC1" w:rsidRDefault="00752498" w:rsidP="00A94BC1">
      <w:pPr>
        <w:numPr>
          <w:ilvl w:val="0"/>
          <w:numId w:val="4"/>
        </w:numPr>
        <w:spacing w:after="160" w:line="360" w:lineRule="auto"/>
        <w:ind w:left="368"/>
        <w:contextualSpacing/>
        <w:jc w:val="both"/>
        <w:rPr>
          <w:rFonts w:ascii="David" w:eastAsia="Calibri" w:hAnsi="David"/>
          <w:noProof w:val="0"/>
        </w:rPr>
      </w:pPr>
      <w:r w:rsidRPr="00A94BC1">
        <w:rPr>
          <w:rFonts w:ascii="David" w:eastAsia="Calibri" w:hAnsi="David"/>
          <w:noProof w:val="0"/>
          <w:rtl/>
        </w:rPr>
        <w:t xml:space="preserve">בסעיף 2 לתיקון, </w:t>
      </w:r>
      <w:r w:rsidRPr="00A94BC1">
        <w:rPr>
          <w:rFonts w:ascii="David" w:eastAsia="Calibri" w:hAnsi="David" w:hint="cs"/>
          <w:noProof w:val="0"/>
          <w:rtl/>
        </w:rPr>
        <w:t xml:space="preserve">נקבעה הוראת מעבר, לפיה: </w:t>
      </w:r>
      <w:r w:rsidRPr="00A94BC1">
        <w:rPr>
          <w:rFonts w:ascii="David" w:eastAsia="Calibri" w:hAnsi="David"/>
          <w:noProof w:val="0"/>
          <w:rtl/>
        </w:rPr>
        <w:t>"</w:t>
      </w:r>
      <w:r w:rsidRPr="00A94BC1">
        <w:rPr>
          <w:rFonts w:ascii="David" w:eastAsia="Calibri" w:hAnsi="David"/>
          <w:b/>
          <w:bCs/>
          <w:noProof w:val="0"/>
          <w:rtl/>
        </w:rPr>
        <w:t>הוראות חוק זה לא יפגעו בתוקפן של צוואות שנעשו לפניו</w:t>
      </w:r>
      <w:r w:rsidRPr="00A94BC1">
        <w:rPr>
          <w:rFonts w:ascii="David" w:eastAsia="Calibri" w:hAnsi="David"/>
          <w:noProof w:val="0"/>
        </w:rPr>
        <w:t>."</w:t>
      </w:r>
      <w:r w:rsidRPr="00A94BC1">
        <w:rPr>
          <w:rFonts w:ascii="David" w:eastAsia="Calibri" w:hAnsi="David"/>
          <w:noProof w:val="0"/>
          <w:rtl/>
        </w:rPr>
        <w:t xml:space="preserve"> ראו: ס"ח תשס"ה 2017, 714</w:t>
      </w:r>
      <w:r w:rsidRPr="00A94BC1">
        <w:rPr>
          <w:rFonts w:ascii="David" w:eastAsia="Calibri" w:hAnsi="David" w:hint="cs"/>
          <w:noProof w:val="0"/>
          <w:rtl/>
        </w:rPr>
        <w:t>.</w:t>
      </w:r>
    </w:p>
    <w:p w:rsidR="0009014E" w:rsidRDefault="0009014E" w:rsidP="0009014E">
      <w:pPr>
        <w:pStyle w:val="ae"/>
        <w:rPr>
          <w:rFonts w:ascii="David" w:eastAsia="Calibri" w:hAnsi="David"/>
          <w:b/>
          <w:bCs/>
          <w:noProof w:val="0"/>
          <w:rtl/>
        </w:rPr>
      </w:pPr>
    </w:p>
    <w:p w:rsidR="0009014E" w:rsidRPr="0009014E" w:rsidRDefault="0009014E" w:rsidP="0009014E">
      <w:pPr>
        <w:numPr>
          <w:ilvl w:val="0"/>
          <w:numId w:val="4"/>
        </w:numPr>
        <w:spacing w:after="160" w:line="360" w:lineRule="auto"/>
        <w:ind w:left="368"/>
        <w:contextualSpacing/>
        <w:jc w:val="both"/>
        <w:rPr>
          <w:rFonts w:ascii="David" w:eastAsia="Calibri" w:hAnsi="David"/>
          <w:noProof w:val="0"/>
        </w:rPr>
      </w:pPr>
      <w:r w:rsidRPr="0009014E">
        <w:rPr>
          <w:rFonts w:ascii="David" w:eastAsia="Calibri" w:hAnsi="David" w:hint="cs"/>
          <w:noProof w:val="0"/>
          <w:rtl/>
        </w:rPr>
        <w:t xml:space="preserve">בעניינו, הצוואה ההדדית נערכה ביום 27.4.2005, </w:t>
      </w:r>
      <w:r w:rsidRPr="00664EA9">
        <w:rPr>
          <w:rFonts w:ascii="David" w:eastAsia="Calibri" w:hAnsi="David" w:hint="cs"/>
          <w:b/>
          <w:bCs/>
          <w:noProof w:val="0"/>
          <w:rtl/>
        </w:rPr>
        <w:t>קודם</w:t>
      </w:r>
      <w:r w:rsidRPr="0009014E">
        <w:rPr>
          <w:rFonts w:ascii="David" w:eastAsia="Calibri" w:hAnsi="David" w:hint="cs"/>
          <w:noProof w:val="0"/>
          <w:rtl/>
        </w:rPr>
        <w:t xml:space="preserve"> לכניסתו לתוקף של תיקון מס' 12 הנ"ל.</w:t>
      </w:r>
    </w:p>
    <w:p w:rsidR="0009014E" w:rsidRPr="00E34603" w:rsidRDefault="0009014E" w:rsidP="0009014E">
      <w:pPr>
        <w:spacing w:after="160" w:line="360" w:lineRule="auto"/>
        <w:ind w:left="368"/>
        <w:contextualSpacing/>
        <w:jc w:val="both"/>
        <w:rPr>
          <w:rFonts w:ascii="David" w:eastAsia="Calibri" w:hAnsi="David"/>
          <w:noProof w:val="0"/>
          <w:rtl/>
        </w:rPr>
      </w:pPr>
    </w:p>
    <w:p w:rsidR="00E34603" w:rsidRPr="00375BCE" w:rsidRDefault="00E34603" w:rsidP="00A12D50">
      <w:pPr>
        <w:numPr>
          <w:ilvl w:val="0"/>
          <w:numId w:val="4"/>
        </w:numPr>
        <w:spacing w:after="160" w:line="360" w:lineRule="auto"/>
        <w:ind w:left="368"/>
        <w:contextualSpacing/>
        <w:jc w:val="both"/>
        <w:rPr>
          <w:rFonts w:ascii="David" w:eastAsia="Calibri" w:hAnsi="David"/>
          <w:noProof w:val="0"/>
          <w:rtl/>
        </w:rPr>
      </w:pPr>
      <w:r w:rsidRPr="00664EA9">
        <w:rPr>
          <w:rFonts w:ascii="David" w:eastAsia="Calibri" w:hAnsi="David"/>
          <w:b/>
          <w:bCs/>
          <w:noProof w:val="0"/>
          <w:rtl/>
        </w:rPr>
        <w:t>ההלכה</w:t>
      </w:r>
      <w:r w:rsidRPr="0009014E">
        <w:rPr>
          <w:rFonts w:ascii="David" w:eastAsia="Calibri" w:hAnsi="David"/>
          <w:noProof w:val="0"/>
          <w:rtl/>
        </w:rPr>
        <w:t xml:space="preserve"> </w:t>
      </w:r>
      <w:r w:rsidRPr="00375BCE">
        <w:rPr>
          <w:rFonts w:ascii="David" w:eastAsia="Calibri" w:hAnsi="David"/>
          <w:noProof w:val="0"/>
          <w:rtl/>
        </w:rPr>
        <w:t xml:space="preserve">בכל הנוגע לדין החל על צוואות שנערכו </w:t>
      </w:r>
      <w:r w:rsidRPr="00664EA9">
        <w:rPr>
          <w:rFonts w:ascii="David" w:eastAsia="Calibri" w:hAnsi="David"/>
          <w:b/>
          <w:bCs/>
          <w:noProof w:val="0"/>
          <w:rtl/>
        </w:rPr>
        <w:t>לפני התיקון</w:t>
      </w:r>
      <w:r w:rsidRPr="00375BCE">
        <w:rPr>
          <w:rFonts w:ascii="David" w:eastAsia="Calibri" w:hAnsi="David"/>
          <w:noProof w:val="0"/>
          <w:rtl/>
        </w:rPr>
        <w:t xml:space="preserve"> לחוק</w:t>
      </w:r>
      <w:r w:rsidR="00375BCE">
        <w:rPr>
          <w:rFonts w:ascii="David" w:eastAsia="Calibri" w:hAnsi="David" w:hint="cs"/>
          <w:noProof w:val="0"/>
          <w:rtl/>
        </w:rPr>
        <w:t xml:space="preserve">, </w:t>
      </w:r>
      <w:r w:rsidRPr="00375BCE">
        <w:rPr>
          <w:rFonts w:ascii="David" w:eastAsia="Calibri" w:hAnsi="David"/>
          <w:noProof w:val="0"/>
          <w:rtl/>
        </w:rPr>
        <w:t xml:space="preserve">נקבעה </w:t>
      </w:r>
      <w:r w:rsidR="00A12D50" w:rsidRPr="000A689A">
        <w:rPr>
          <w:rFonts w:ascii="David" w:eastAsia="Calibri" w:hAnsi="David"/>
          <w:noProof w:val="0"/>
          <w:rtl/>
        </w:rPr>
        <w:t xml:space="preserve">בע"מ 10807/03 </w:t>
      </w:r>
      <w:r w:rsidR="00A12D50" w:rsidRPr="000A689A">
        <w:rPr>
          <w:rFonts w:ascii="David" w:eastAsia="Calibri" w:hAnsi="David"/>
          <w:b/>
          <w:bCs/>
          <w:noProof w:val="0"/>
          <w:rtl/>
        </w:rPr>
        <w:t>אליקום זמיר נ' רות גמליאל</w:t>
      </w:r>
      <w:r w:rsidR="00A12D50" w:rsidRPr="000A689A">
        <w:rPr>
          <w:rFonts w:ascii="David" w:eastAsia="Calibri" w:hAnsi="David"/>
          <w:noProof w:val="0"/>
          <w:rtl/>
        </w:rPr>
        <w:t>, פ"ד סב(1) 601 (2007)‏‏) (להלן – "</w:t>
      </w:r>
      <w:r w:rsidR="00A12D50" w:rsidRPr="000A689A">
        <w:rPr>
          <w:rFonts w:ascii="David" w:eastAsia="Calibri" w:hAnsi="David"/>
          <w:b/>
          <w:bCs/>
          <w:noProof w:val="0"/>
          <w:rtl/>
        </w:rPr>
        <w:t>הלכת זמיר</w:t>
      </w:r>
      <w:r w:rsidR="00A12D50" w:rsidRPr="000A689A">
        <w:rPr>
          <w:rFonts w:ascii="David" w:eastAsia="Calibri" w:hAnsi="David"/>
          <w:noProof w:val="0"/>
          <w:rtl/>
        </w:rPr>
        <w:t>")</w:t>
      </w:r>
      <w:r w:rsidR="00A12D50">
        <w:rPr>
          <w:rFonts w:ascii="David" w:eastAsia="Calibri" w:hAnsi="David" w:hint="cs"/>
          <w:noProof w:val="0"/>
          <w:rtl/>
        </w:rPr>
        <w:t xml:space="preserve">, </w:t>
      </w:r>
      <w:r w:rsidR="00CB20DD" w:rsidRPr="00375BCE">
        <w:rPr>
          <w:rFonts w:ascii="David" w:eastAsia="Calibri" w:hAnsi="David"/>
          <w:noProof w:val="0"/>
          <w:rtl/>
        </w:rPr>
        <w:t>שניתנה לאחר כניסת תיקון מס' 12 לתוקף</w:t>
      </w:r>
      <w:r w:rsidR="00664EA9">
        <w:rPr>
          <w:rFonts w:ascii="David" w:eastAsia="Calibri" w:hAnsi="David" w:hint="cs"/>
          <w:noProof w:val="0"/>
          <w:rtl/>
        </w:rPr>
        <w:t>,</w:t>
      </w:r>
      <w:r w:rsidR="00CB20DD">
        <w:rPr>
          <w:rFonts w:ascii="David" w:eastAsia="Calibri" w:hAnsi="David" w:hint="cs"/>
          <w:noProof w:val="0"/>
          <w:rtl/>
        </w:rPr>
        <w:t xml:space="preserve"> </w:t>
      </w:r>
      <w:r w:rsidR="00664EA9">
        <w:rPr>
          <w:rFonts w:ascii="David" w:eastAsia="Calibri" w:hAnsi="David" w:hint="cs"/>
          <w:noProof w:val="0"/>
          <w:rtl/>
        </w:rPr>
        <w:t>בה נקבע</w:t>
      </w:r>
      <w:r w:rsidRPr="00375BCE">
        <w:rPr>
          <w:rFonts w:ascii="David" w:eastAsia="Calibri" w:hAnsi="David"/>
          <w:noProof w:val="0"/>
          <w:rtl/>
        </w:rPr>
        <w:t xml:space="preserve"> </w:t>
      </w:r>
      <w:r w:rsidR="00664EA9" w:rsidRPr="00664EA9">
        <w:rPr>
          <w:rFonts w:ascii="David" w:eastAsia="Calibri" w:hAnsi="David"/>
          <w:noProof w:val="0"/>
          <w:rtl/>
        </w:rPr>
        <w:t>בדעת רוב</w:t>
      </w:r>
      <w:r w:rsidR="00664EA9" w:rsidRPr="00375BCE">
        <w:rPr>
          <w:rFonts w:ascii="David" w:eastAsia="Calibri" w:hAnsi="David"/>
          <w:b/>
          <w:bCs/>
          <w:noProof w:val="0"/>
          <w:rtl/>
        </w:rPr>
        <w:t xml:space="preserve"> </w:t>
      </w:r>
      <w:r w:rsidR="00664EA9" w:rsidRPr="00375BCE">
        <w:rPr>
          <w:rFonts w:ascii="David" w:eastAsia="Calibri" w:hAnsi="David"/>
          <w:noProof w:val="0"/>
          <w:rtl/>
        </w:rPr>
        <w:t xml:space="preserve">(של כב' השופטת נאור אליה הצטרף כב' השופט ג'ובראן), </w:t>
      </w:r>
      <w:r w:rsidR="00664EA9">
        <w:rPr>
          <w:rFonts w:ascii="David" w:eastAsia="Calibri" w:hAnsi="David" w:hint="cs"/>
          <w:noProof w:val="0"/>
          <w:rtl/>
        </w:rPr>
        <w:t xml:space="preserve">כי </w:t>
      </w:r>
      <w:r w:rsidRPr="00A12D50">
        <w:rPr>
          <w:rFonts w:ascii="David" w:eastAsia="Calibri" w:hAnsi="David"/>
          <w:b/>
          <w:bCs/>
          <w:noProof w:val="0"/>
          <w:rtl/>
        </w:rPr>
        <w:t>הוראות התיקון אינן חלות על צוואות שנערכו לפניו</w:t>
      </w:r>
      <w:r w:rsidRPr="00375BCE">
        <w:rPr>
          <w:rFonts w:ascii="David" w:eastAsia="Calibri" w:hAnsi="David"/>
          <w:noProof w:val="0"/>
          <w:rtl/>
        </w:rPr>
        <w:t xml:space="preserve">, וכי אין מקום ללמוד דין מיוחד זה מכוח הפסיקה, ויש להחיל על צוואות הדדיות </w:t>
      </w:r>
      <w:r w:rsidR="00987BE1">
        <w:rPr>
          <w:rFonts w:ascii="David" w:eastAsia="Calibri" w:hAnsi="David" w:hint="cs"/>
          <w:noProof w:val="0"/>
          <w:rtl/>
        </w:rPr>
        <w:t xml:space="preserve">אלו </w:t>
      </w:r>
      <w:r w:rsidRPr="00375BCE">
        <w:rPr>
          <w:rFonts w:ascii="David" w:eastAsia="Calibri" w:hAnsi="David"/>
          <w:noProof w:val="0"/>
          <w:rtl/>
        </w:rPr>
        <w:t>את הגישה המסורתית הסוברת שעצם ההדדיות בכתיבת הצוואות אינה מלמדת על רצון משותף של בני הזוג להגביל את יכולתו של כל אחד מהם לשנות את צוואתו לאחר מותו של אחד מהם, בהיעדר כל ראיה על כוונה משותפת אחרת, מפורשת או משתמעת, של הצדדים:</w:t>
      </w:r>
      <w:r w:rsidRPr="00375BCE">
        <w:rPr>
          <w:rFonts w:ascii="David" w:eastAsia="Calibri" w:hAnsi="David"/>
          <w:b/>
          <w:bCs/>
          <w:noProof w:val="0"/>
          <w:rtl/>
        </w:rPr>
        <w:t xml:space="preserve"> </w:t>
      </w:r>
    </w:p>
    <w:p w:rsidR="00E34603" w:rsidRPr="00E34603" w:rsidRDefault="00E34603" w:rsidP="00E34603">
      <w:pPr>
        <w:spacing w:line="360" w:lineRule="auto"/>
        <w:ind w:left="368"/>
        <w:jc w:val="both"/>
        <w:rPr>
          <w:rFonts w:ascii="David" w:eastAsia="Calibri" w:hAnsi="David"/>
          <w:noProof w:val="0"/>
        </w:rPr>
      </w:pPr>
      <w:r w:rsidRPr="00E34603">
        <w:rPr>
          <w:rFonts w:ascii="David" w:eastAsia="Calibri" w:hAnsi="David"/>
          <w:b/>
          <w:bCs/>
          <w:noProof w:val="0"/>
          <w:rtl/>
        </w:rPr>
        <w:t xml:space="preserve">"חוק הירושה מלמדנו כי עקרון יסוד בדיני הירושה הוא כוחו של המוריש לשנות מצוואתו מתי וכפי שיחפוץ. כך, הסכם בדבר ירושתו של אדם שנעשה בחייו של אותו אדם - בטל (סעיף 8 לחוק); התחייבות של אדם לעשות צוואה, לשנותה או לבטלה - "אינה תופסת" (סעיף 27(א) לחוק); הוראה בצוואה השוללת או מגבילה את זכות המצווה לשנות את הצוואה - בטלה (סעיף 27(ב) לחוק). </w:t>
      </w:r>
      <w:r w:rsidRPr="00E34603">
        <w:rPr>
          <w:rFonts w:ascii="David" w:eastAsia="Calibri" w:hAnsi="David"/>
          <w:b/>
          <w:bCs/>
          <w:noProof w:val="0"/>
          <w:u w:val="single"/>
          <w:rtl/>
        </w:rPr>
        <w:t>בהעדר עיגון לכוונה משותפת אחרת של כותבי צוואות הדדיות, ולוּ באופן משתמע, אין, לטעמי, מקום לסטות מהוראות אלה</w:t>
      </w:r>
      <w:r w:rsidRPr="00E34603">
        <w:rPr>
          <w:rFonts w:ascii="David" w:eastAsia="Calibri" w:hAnsi="David"/>
          <w:b/>
          <w:bCs/>
          <w:noProof w:val="0"/>
          <w:rtl/>
        </w:rPr>
        <w:t xml:space="preserve">. דעתי היא, כי </w:t>
      </w:r>
      <w:r w:rsidRPr="00E34603">
        <w:rPr>
          <w:rFonts w:ascii="David" w:eastAsia="Calibri" w:hAnsi="David"/>
          <w:b/>
          <w:bCs/>
          <w:noProof w:val="0"/>
          <w:u w:val="single"/>
          <w:rtl/>
        </w:rPr>
        <w:t>אין בהדדיוּת בצוואות כשלעצמה כדי שניצור פרזומציה, כי כוונת הצדדים היתה להתנות על הוראות הדין</w:t>
      </w:r>
      <w:r w:rsidRPr="00E34603">
        <w:rPr>
          <w:rFonts w:ascii="David" w:eastAsia="Calibri" w:hAnsi="David"/>
          <w:b/>
          <w:bCs/>
          <w:noProof w:val="0"/>
          <w:rtl/>
        </w:rPr>
        <w:t xml:space="preserve"> (אם אכן ניתנות הן להתנייה). בני זוג שכתבו צוואותיהם לפני התיקון, כל שעמד לפניהם הוא הוראות הדין, הברורות למדי, </w:t>
      </w:r>
      <w:r w:rsidRPr="00E34603">
        <w:rPr>
          <w:rFonts w:ascii="David" w:eastAsia="Calibri" w:hAnsi="David"/>
          <w:b/>
          <w:bCs/>
          <w:noProof w:val="0"/>
          <w:rtl/>
        </w:rPr>
        <w:lastRenderedPageBreak/>
        <w:t xml:space="preserve">בדבר אי הטלת הגבלות על שינוי הצוואה ... בענין בני זוג שכאלה - ובהעדר כוונה אחרת, מפורשת או משתמעת - לא ניתן, לדעתי, להניח כי רצונם היה להגביל זה את כוחו של זה בשינוי הצוואה. יתכן שכן, אך יתכן שלא. </w:t>
      </w:r>
      <w:r w:rsidRPr="00E34603">
        <w:rPr>
          <w:rFonts w:ascii="David" w:eastAsia="Calibri" w:hAnsi="David"/>
          <w:b/>
          <w:bCs/>
          <w:noProof w:val="0"/>
          <w:u w:val="single"/>
          <w:rtl/>
        </w:rPr>
        <w:t>בהעדר כל ראיה על כוונה משותפת אחרת של הצדדים, לא ראוי, לדעתי, לקבוע לגבי צוואות שנעשו לפני החוק שהיתה כוונה משותפת להתנות על הדין ולהגביל את בן הזוג האחר</w:t>
      </w:r>
      <w:r w:rsidRPr="00E34603">
        <w:rPr>
          <w:rFonts w:ascii="David" w:eastAsia="Calibri" w:hAnsi="David"/>
          <w:b/>
          <w:bCs/>
          <w:noProof w:val="0"/>
          <w:rtl/>
        </w:rPr>
        <w:t>.</w:t>
      </w:r>
      <w:r w:rsidRPr="00E34603">
        <w:rPr>
          <w:rFonts w:ascii="David" w:eastAsia="Calibri" w:hAnsi="David"/>
          <w:noProof w:val="0"/>
          <w:rtl/>
        </w:rPr>
        <w:t xml:space="preserve">".     </w:t>
      </w:r>
    </w:p>
    <w:p w:rsidR="00E34603" w:rsidRPr="00E34603" w:rsidRDefault="00E34603" w:rsidP="00E34603">
      <w:pPr>
        <w:spacing w:line="360" w:lineRule="auto"/>
        <w:ind w:left="368"/>
        <w:jc w:val="both"/>
        <w:rPr>
          <w:rFonts w:ascii="David" w:eastAsia="Calibri" w:hAnsi="David"/>
          <w:noProof w:val="0"/>
          <w:rtl/>
        </w:rPr>
      </w:pPr>
    </w:p>
    <w:p w:rsidR="00E34603" w:rsidRPr="00E34603" w:rsidRDefault="00E34603" w:rsidP="00E34603">
      <w:pPr>
        <w:numPr>
          <w:ilvl w:val="0"/>
          <w:numId w:val="4"/>
        </w:numPr>
        <w:spacing w:after="160" w:line="360" w:lineRule="auto"/>
        <w:ind w:left="368"/>
        <w:contextualSpacing/>
        <w:jc w:val="both"/>
        <w:rPr>
          <w:rFonts w:ascii="David" w:eastAsia="Calibri" w:hAnsi="David"/>
          <w:noProof w:val="0"/>
          <w:rtl/>
        </w:rPr>
      </w:pPr>
      <w:r w:rsidRPr="00E34603">
        <w:rPr>
          <w:rFonts w:ascii="David" w:eastAsia="Calibri" w:hAnsi="David"/>
          <w:b/>
          <w:bCs/>
          <w:noProof w:val="0"/>
          <w:rtl/>
        </w:rPr>
        <w:t>סיכומם של דברים</w:t>
      </w:r>
      <w:r w:rsidRPr="00E34603">
        <w:rPr>
          <w:rFonts w:ascii="David" w:eastAsia="Calibri" w:hAnsi="David"/>
          <w:noProof w:val="0"/>
          <w:rtl/>
        </w:rPr>
        <w:t xml:space="preserve"> הוא כי בעוד שביחס לצוואה הדדית שנערכה </w:t>
      </w:r>
      <w:r w:rsidRPr="00E34603">
        <w:rPr>
          <w:rFonts w:ascii="David" w:eastAsia="Calibri" w:hAnsi="David"/>
          <w:b/>
          <w:bCs/>
          <w:noProof w:val="0"/>
          <w:rtl/>
        </w:rPr>
        <w:t>לאחר</w:t>
      </w:r>
      <w:r w:rsidRPr="00E34603">
        <w:rPr>
          <w:rFonts w:ascii="David" w:eastAsia="Calibri" w:hAnsi="David"/>
          <w:noProof w:val="0"/>
          <w:rtl/>
        </w:rPr>
        <w:t xml:space="preserve"> תיקון מס' 12, עקרון ההסתמכות גובר על עקרון החופש לצוות, והוראת סעיף </w:t>
      </w:r>
      <w:r w:rsidR="006B28B5">
        <w:rPr>
          <w:rFonts w:ascii="David" w:eastAsia="Calibri" w:hAnsi="David"/>
          <w:noProof w:val="0"/>
          <w:rtl/>
        </w:rPr>
        <w:t>8א</w:t>
      </w:r>
      <w:r w:rsidRPr="00E34603">
        <w:rPr>
          <w:rFonts w:ascii="David" w:eastAsia="Calibri" w:hAnsi="David"/>
          <w:noProof w:val="0"/>
          <w:rtl/>
        </w:rPr>
        <w:t xml:space="preserve"> (אשר נוספה לחוק בתיקון האמור), קובעת "כברירת מחדל" כי צוואה הדדית </w:t>
      </w:r>
      <w:r w:rsidRPr="00E34603">
        <w:rPr>
          <w:rFonts w:ascii="David" w:eastAsia="Calibri" w:hAnsi="David"/>
          <w:b/>
          <w:bCs/>
          <w:noProof w:val="0"/>
          <w:rtl/>
        </w:rPr>
        <w:t>אינה ניתנת לשינוי או ביטול</w:t>
      </w:r>
      <w:r w:rsidRPr="00E34603">
        <w:rPr>
          <w:rFonts w:ascii="David" w:eastAsia="Calibri" w:hAnsi="David"/>
          <w:noProof w:val="0"/>
          <w:rtl/>
        </w:rPr>
        <w:t xml:space="preserve">, אלא בהתקיים התנאים שנקבעו בסעיף </w:t>
      </w:r>
      <w:r w:rsidR="006B28B5">
        <w:rPr>
          <w:rFonts w:ascii="David" w:eastAsia="Calibri" w:hAnsi="David"/>
          <w:noProof w:val="0"/>
          <w:rtl/>
        </w:rPr>
        <w:t>8א</w:t>
      </w:r>
      <w:r w:rsidRPr="00E34603">
        <w:rPr>
          <w:rFonts w:ascii="David" w:eastAsia="Calibri" w:hAnsi="David"/>
          <w:noProof w:val="0"/>
          <w:rtl/>
        </w:rPr>
        <w:t>(ב) לחוק, וככל שאין בצוואות ההדדיו</w:t>
      </w:r>
      <w:r w:rsidR="00CB20DD">
        <w:rPr>
          <w:rFonts w:ascii="David" w:eastAsia="Calibri" w:hAnsi="David"/>
          <w:noProof w:val="0"/>
          <w:rtl/>
        </w:rPr>
        <w:t xml:space="preserve">ת הוראה אחרת (סעיף </w:t>
      </w:r>
      <w:r w:rsidR="006B28B5">
        <w:rPr>
          <w:rFonts w:ascii="David" w:eastAsia="Calibri" w:hAnsi="David"/>
          <w:noProof w:val="0"/>
          <w:rtl/>
        </w:rPr>
        <w:t>8א</w:t>
      </w:r>
      <w:r w:rsidR="00CB20DD">
        <w:rPr>
          <w:rFonts w:ascii="David" w:eastAsia="Calibri" w:hAnsi="David"/>
          <w:noProof w:val="0"/>
          <w:rtl/>
        </w:rPr>
        <w:t>(ג) לחוק)</w:t>
      </w:r>
      <w:r w:rsidR="00CB20DD">
        <w:rPr>
          <w:rFonts w:ascii="David" w:eastAsia="Calibri" w:hAnsi="David" w:hint="cs"/>
          <w:noProof w:val="0"/>
          <w:rtl/>
        </w:rPr>
        <w:t>;</w:t>
      </w:r>
    </w:p>
    <w:p w:rsidR="00E34603" w:rsidRPr="00E34603" w:rsidRDefault="00E34603" w:rsidP="00E34603">
      <w:pPr>
        <w:spacing w:line="360" w:lineRule="auto"/>
        <w:ind w:left="368"/>
        <w:contextualSpacing/>
        <w:jc w:val="both"/>
        <w:rPr>
          <w:rFonts w:ascii="David" w:eastAsia="Calibri" w:hAnsi="David"/>
          <w:noProof w:val="0"/>
          <w:rtl/>
        </w:rPr>
      </w:pPr>
    </w:p>
    <w:p w:rsidR="00E34603" w:rsidRDefault="00E34603" w:rsidP="00E34603">
      <w:pPr>
        <w:numPr>
          <w:ilvl w:val="0"/>
          <w:numId w:val="4"/>
        </w:numPr>
        <w:spacing w:after="160" w:line="360" w:lineRule="auto"/>
        <w:ind w:left="368"/>
        <w:contextualSpacing/>
        <w:jc w:val="both"/>
        <w:rPr>
          <w:rFonts w:ascii="David" w:eastAsia="Calibri" w:hAnsi="David"/>
          <w:noProof w:val="0"/>
        </w:rPr>
      </w:pPr>
      <w:r w:rsidRPr="00E34603">
        <w:rPr>
          <w:rFonts w:ascii="David" w:eastAsia="Calibri" w:hAnsi="David"/>
          <w:noProof w:val="0"/>
          <w:rtl/>
        </w:rPr>
        <w:t xml:space="preserve">הרי שבכל הנוגע לצוואה הדדית שנערכה </w:t>
      </w:r>
      <w:r w:rsidRPr="00E34603">
        <w:rPr>
          <w:rFonts w:ascii="David" w:eastAsia="Calibri" w:hAnsi="David"/>
          <w:b/>
          <w:bCs/>
          <w:noProof w:val="0"/>
          <w:rtl/>
        </w:rPr>
        <w:t>לפני</w:t>
      </w:r>
      <w:r w:rsidRPr="00E34603">
        <w:rPr>
          <w:rFonts w:ascii="David" w:eastAsia="Calibri" w:hAnsi="David"/>
          <w:noProof w:val="0"/>
          <w:rtl/>
        </w:rPr>
        <w:t xml:space="preserve"> התיקון, עקרון החופש לצוות גובר על עקרון ההסתמכות, ו"ברירת המחדל" היא הפוכה - היא </w:t>
      </w:r>
      <w:r w:rsidRPr="00E34603">
        <w:rPr>
          <w:rFonts w:ascii="David" w:eastAsia="Calibri" w:hAnsi="David"/>
          <w:b/>
          <w:bCs/>
          <w:noProof w:val="0"/>
          <w:rtl/>
        </w:rPr>
        <w:t>ניתנת לשינוי</w:t>
      </w:r>
      <w:r w:rsidRPr="00E34603">
        <w:rPr>
          <w:rFonts w:ascii="David" w:eastAsia="Calibri" w:hAnsi="David"/>
          <w:noProof w:val="0"/>
          <w:rtl/>
        </w:rPr>
        <w:t xml:space="preserve"> על ידי כל אחד משני המצווים, וזאת בכל עת, היינו- בין בחיי שני המצווים ובין לאחר פטירתו של אחד מהם, למעט מקרים בהם ניתן ללמוד מהוראות הצוואה על כוונה אחרת, מפורשת או משתמעת. ראו לעניין זה גם דברי כב' השופט שנלר בעמ"ש (מחוזי ת"א) 51823-03-11 </w:t>
      </w:r>
      <w:r w:rsidRPr="00E34603">
        <w:rPr>
          <w:rFonts w:ascii="David" w:eastAsia="Calibri" w:hAnsi="David"/>
          <w:b/>
          <w:bCs/>
          <w:noProof w:val="0"/>
          <w:rtl/>
        </w:rPr>
        <w:t>פלונית נ' פלוני</w:t>
      </w:r>
      <w:r w:rsidRPr="00E34603">
        <w:rPr>
          <w:rFonts w:ascii="David" w:eastAsia="Calibri" w:hAnsi="David"/>
          <w:noProof w:val="0"/>
          <w:rtl/>
        </w:rPr>
        <w:t xml:space="preserve"> (9.4.2013)‏‏, פסקה 36 לפסק הדין.</w:t>
      </w:r>
    </w:p>
    <w:p w:rsidR="000A689A" w:rsidRDefault="000A689A" w:rsidP="000A689A">
      <w:pPr>
        <w:pStyle w:val="ae"/>
        <w:rPr>
          <w:rFonts w:ascii="David" w:eastAsia="Calibri" w:hAnsi="David"/>
          <w:noProof w:val="0"/>
          <w:rtl/>
        </w:rPr>
      </w:pPr>
    </w:p>
    <w:p w:rsidR="000A689A" w:rsidRPr="000A689A" w:rsidRDefault="000A689A" w:rsidP="000A689A">
      <w:pPr>
        <w:spacing w:after="160" w:line="360" w:lineRule="auto"/>
        <w:contextualSpacing/>
        <w:jc w:val="both"/>
        <w:rPr>
          <w:rFonts w:ascii="David" w:eastAsia="Calibri" w:hAnsi="David"/>
          <w:b/>
          <w:bCs/>
          <w:noProof w:val="0"/>
          <w:rtl/>
        </w:rPr>
      </w:pPr>
      <w:r>
        <w:rPr>
          <w:rFonts w:ascii="David" w:eastAsia="Calibri" w:hAnsi="David" w:hint="cs"/>
          <w:b/>
          <w:bCs/>
          <w:noProof w:val="0"/>
          <w:rtl/>
        </w:rPr>
        <w:t>האם הוראות סעיף 8א לחוק הירושה חלות על עניינו</w:t>
      </w:r>
    </w:p>
    <w:p w:rsidR="00E34603" w:rsidRPr="00E34603" w:rsidRDefault="00E34603" w:rsidP="00E34603">
      <w:pPr>
        <w:spacing w:line="360" w:lineRule="auto"/>
        <w:ind w:left="368"/>
        <w:contextualSpacing/>
        <w:jc w:val="both"/>
        <w:rPr>
          <w:rFonts w:ascii="David" w:eastAsia="Calibri" w:hAnsi="David"/>
          <w:b/>
          <w:bCs/>
          <w:noProof w:val="0"/>
          <w:rtl/>
        </w:rPr>
      </w:pPr>
    </w:p>
    <w:p w:rsidR="000A689A" w:rsidRPr="000A689A" w:rsidRDefault="000A689A" w:rsidP="000A689A">
      <w:pPr>
        <w:numPr>
          <w:ilvl w:val="0"/>
          <w:numId w:val="4"/>
        </w:numPr>
        <w:spacing w:after="160" w:line="360" w:lineRule="auto"/>
        <w:ind w:left="368"/>
        <w:contextualSpacing/>
        <w:jc w:val="both"/>
        <w:rPr>
          <w:rFonts w:ascii="David" w:eastAsia="Calibri" w:hAnsi="David"/>
          <w:noProof w:val="0"/>
        </w:rPr>
      </w:pPr>
      <w:r w:rsidRPr="000A689A">
        <w:rPr>
          <w:rFonts w:ascii="David" w:eastAsia="Calibri" w:hAnsi="David" w:hint="cs"/>
          <w:noProof w:val="0"/>
          <w:rtl/>
        </w:rPr>
        <w:t>הצדדים חלוקים האם הוראת סעיף 8א לחוק הירושה חלה בנדון דנן אם לאו, בנסיבות בהן הצוואה ההדדית נערכה קודם לתיקון מס' 12 אולם הצוואה המבטלת נערכה לאחריו.</w:t>
      </w:r>
    </w:p>
    <w:p w:rsidR="000A689A" w:rsidRPr="000A689A" w:rsidRDefault="000A689A" w:rsidP="000A689A">
      <w:pPr>
        <w:pStyle w:val="ae"/>
        <w:rPr>
          <w:rFonts w:ascii="David" w:eastAsia="Calibri" w:hAnsi="David"/>
          <w:noProof w:val="0"/>
          <w:rtl/>
        </w:rPr>
      </w:pPr>
    </w:p>
    <w:p w:rsidR="000A689A" w:rsidRPr="000A689A" w:rsidRDefault="00752498" w:rsidP="00752498">
      <w:pPr>
        <w:numPr>
          <w:ilvl w:val="0"/>
          <w:numId w:val="4"/>
        </w:numPr>
        <w:spacing w:after="160" w:line="360" w:lineRule="auto"/>
        <w:ind w:left="368"/>
        <w:contextualSpacing/>
        <w:jc w:val="both"/>
        <w:rPr>
          <w:rFonts w:ascii="David" w:eastAsia="Calibri" w:hAnsi="David"/>
          <w:noProof w:val="0"/>
        </w:rPr>
      </w:pPr>
      <w:r>
        <w:rPr>
          <w:rFonts w:ascii="David" w:eastAsia="Calibri" w:hAnsi="David" w:hint="cs"/>
          <w:noProof w:val="0"/>
          <w:rtl/>
        </w:rPr>
        <w:t xml:space="preserve">כאמור, </w:t>
      </w:r>
      <w:r w:rsidR="000A689A" w:rsidRPr="000A689A">
        <w:rPr>
          <w:rFonts w:ascii="David" w:eastAsia="Calibri" w:hAnsi="David"/>
          <w:noProof w:val="0"/>
          <w:rtl/>
        </w:rPr>
        <w:t>סעיף 2 לתיקון</w:t>
      </w:r>
      <w:r>
        <w:rPr>
          <w:rFonts w:ascii="David" w:eastAsia="Calibri" w:hAnsi="David" w:hint="cs"/>
          <w:noProof w:val="0"/>
          <w:rtl/>
        </w:rPr>
        <w:t xml:space="preserve"> קובע כי</w:t>
      </w:r>
      <w:r w:rsidR="000A689A" w:rsidRPr="000A689A">
        <w:rPr>
          <w:rFonts w:ascii="David" w:eastAsia="Calibri" w:hAnsi="David" w:hint="cs"/>
          <w:noProof w:val="0"/>
          <w:rtl/>
        </w:rPr>
        <w:t xml:space="preserve">: </w:t>
      </w:r>
      <w:r w:rsidR="000A689A" w:rsidRPr="000A689A">
        <w:rPr>
          <w:rFonts w:ascii="David" w:eastAsia="Calibri" w:hAnsi="David"/>
          <w:noProof w:val="0"/>
          <w:rtl/>
        </w:rPr>
        <w:t>"</w:t>
      </w:r>
      <w:r w:rsidR="000A689A" w:rsidRPr="000A689A">
        <w:rPr>
          <w:rFonts w:ascii="David" w:eastAsia="Calibri" w:hAnsi="David"/>
          <w:b/>
          <w:bCs/>
          <w:noProof w:val="0"/>
          <w:rtl/>
        </w:rPr>
        <w:t>הוראות חוק זה לא יפגעו בתוקפן של צוואות שנעשו לפניו</w:t>
      </w:r>
      <w:r w:rsidR="000A689A" w:rsidRPr="000A689A">
        <w:rPr>
          <w:rFonts w:ascii="David" w:eastAsia="Calibri" w:hAnsi="David"/>
          <w:noProof w:val="0"/>
        </w:rPr>
        <w:t>."</w:t>
      </w:r>
      <w:r w:rsidR="000A689A" w:rsidRPr="000A689A">
        <w:rPr>
          <w:rFonts w:ascii="David" w:eastAsia="Calibri" w:hAnsi="David"/>
          <w:noProof w:val="0"/>
          <w:rtl/>
        </w:rPr>
        <w:t xml:space="preserve"> ראו: ס"ח תשס"ה 2017, 714</w:t>
      </w:r>
      <w:r w:rsidR="000A689A" w:rsidRPr="000A689A">
        <w:rPr>
          <w:rFonts w:ascii="David" w:eastAsia="Calibri" w:hAnsi="David" w:hint="cs"/>
          <w:noProof w:val="0"/>
          <w:rtl/>
        </w:rPr>
        <w:t>.</w:t>
      </w:r>
    </w:p>
    <w:p w:rsidR="000A689A" w:rsidRPr="005E1D20" w:rsidRDefault="000A689A" w:rsidP="000A689A">
      <w:pPr>
        <w:pStyle w:val="ae"/>
        <w:rPr>
          <w:rFonts w:ascii="David" w:eastAsia="Calibri" w:hAnsi="David"/>
          <w:noProof w:val="0"/>
          <w:highlight w:val="yellow"/>
          <w:rtl/>
        </w:rPr>
      </w:pPr>
    </w:p>
    <w:p w:rsidR="00987BE1" w:rsidRDefault="004D3135" w:rsidP="00987BE1">
      <w:pPr>
        <w:numPr>
          <w:ilvl w:val="0"/>
          <w:numId w:val="4"/>
        </w:numPr>
        <w:spacing w:after="160" w:line="360" w:lineRule="auto"/>
        <w:ind w:left="368"/>
        <w:contextualSpacing/>
        <w:jc w:val="both"/>
        <w:rPr>
          <w:rFonts w:ascii="David" w:eastAsia="Calibri" w:hAnsi="David"/>
          <w:noProof w:val="0"/>
        </w:rPr>
      </w:pPr>
      <w:r>
        <w:rPr>
          <w:rFonts w:ascii="David" w:eastAsia="Calibri" w:hAnsi="David" w:hint="cs"/>
          <w:noProof w:val="0"/>
          <w:rtl/>
        </w:rPr>
        <w:t>כאמור</w:t>
      </w:r>
      <w:r w:rsidR="00987BE1">
        <w:rPr>
          <w:rFonts w:ascii="David" w:eastAsia="Calibri" w:hAnsi="David" w:hint="cs"/>
          <w:noProof w:val="0"/>
          <w:rtl/>
        </w:rPr>
        <w:t xml:space="preserve">, על פי </w:t>
      </w:r>
      <w:r w:rsidR="00987BE1" w:rsidRPr="00987BE1">
        <w:rPr>
          <w:rFonts w:ascii="David" w:eastAsia="Calibri" w:hAnsi="David" w:hint="cs"/>
          <w:b/>
          <w:bCs/>
          <w:noProof w:val="0"/>
          <w:rtl/>
        </w:rPr>
        <w:t>הלכת זמיר</w:t>
      </w:r>
      <w:r w:rsidR="00987BE1">
        <w:rPr>
          <w:rFonts w:ascii="David" w:eastAsia="Calibri" w:hAnsi="David" w:hint="cs"/>
          <w:noProof w:val="0"/>
          <w:rtl/>
        </w:rPr>
        <w:t xml:space="preserve"> הנ"ל,</w:t>
      </w:r>
      <w:r w:rsidR="000A689A" w:rsidRPr="000A689A">
        <w:rPr>
          <w:rFonts w:ascii="David" w:eastAsia="Calibri" w:hAnsi="David"/>
          <w:noProof w:val="0"/>
          <w:rtl/>
        </w:rPr>
        <w:t xml:space="preserve"> הוראת סעיף </w:t>
      </w:r>
      <w:r w:rsidR="006B28B5">
        <w:rPr>
          <w:rFonts w:ascii="David" w:eastAsia="Calibri" w:hAnsi="David"/>
          <w:noProof w:val="0"/>
          <w:rtl/>
        </w:rPr>
        <w:t>8א</w:t>
      </w:r>
      <w:r w:rsidR="000A689A" w:rsidRPr="000A689A">
        <w:rPr>
          <w:rFonts w:ascii="David" w:eastAsia="Calibri" w:hAnsi="David"/>
          <w:noProof w:val="0"/>
          <w:rtl/>
        </w:rPr>
        <w:t xml:space="preserve"> לחוק הירושה אינה חלה על צוואות הדדיות שנערכו טרם כניסת התיקון לתוקף </w:t>
      </w:r>
      <w:r w:rsidRPr="004D3135">
        <w:rPr>
          <w:rFonts w:ascii="David" w:eastAsia="Calibri" w:hAnsi="David"/>
          <w:noProof w:val="0"/>
          <w:rtl/>
        </w:rPr>
        <w:t>בהעדר עיגון לכוונה משו</w:t>
      </w:r>
      <w:r>
        <w:rPr>
          <w:rFonts w:ascii="David" w:eastAsia="Calibri" w:hAnsi="David"/>
          <w:noProof w:val="0"/>
          <w:rtl/>
        </w:rPr>
        <w:t>תפת אחרת של כותבי צוואות הדדיות</w:t>
      </w:r>
      <w:r w:rsidR="00987BE1">
        <w:rPr>
          <w:rFonts w:ascii="David" w:eastAsia="Calibri" w:hAnsi="David" w:hint="cs"/>
          <w:noProof w:val="0"/>
          <w:rtl/>
        </w:rPr>
        <w:t>.</w:t>
      </w:r>
    </w:p>
    <w:p w:rsidR="00987BE1" w:rsidRDefault="00987BE1" w:rsidP="00987BE1">
      <w:pPr>
        <w:pStyle w:val="ae"/>
        <w:rPr>
          <w:rFonts w:ascii="David" w:eastAsia="Calibri" w:hAnsi="David"/>
          <w:noProof w:val="0"/>
          <w:rtl/>
        </w:rPr>
      </w:pPr>
    </w:p>
    <w:p w:rsidR="004D3135" w:rsidRPr="001D1454" w:rsidRDefault="004D3135" w:rsidP="00987BE1">
      <w:pPr>
        <w:numPr>
          <w:ilvl w:val="0"/>
          <w:numId w:val="4"/>
        </w:numPr>
        <w:spacing w:after="160" w:line="360" w:lineRule="auto"/>
        <w:ind w:left="368"/>
        <w:contextualSpacing/>
        <w:jc w:val="both"/>
        <w:rPr>
          <w:rFonts w:ascii="David" w:eastAsia="Calibri" w:hAnsi="David"/>
          <w:noProof w:val="0"/>
          <w:rtl/>
        </w:rPr>
      </w:pPr>
      <w:r>
        <w:rPr>
          <w:rFonts w:ascii="David" w:eastAsia="Calibri" w:hAnsi="David" w:hint="cs"/>
          <w:noProof w:val="0"/>
          <w:rtl/>
        </w:rPr>
        <w:t>וכך נקבע לאחרונה על ידי כב' השופטת וילנר, ב</w:t>
      </w:r>
      <w:r w:rsidRPr="001D1454">
        <w:rPr>
          <w:rFonts w:ascii="David" w:eastAsia="Calibri" w:hAnsi="David"/>
          <w:noProof w:val="0"/>
          <w:rtl/>
        </w:rPr>
        <w:t xml:space="preserve">בע"מ 7884/23 </w:t>
      </w:r>
      <w:r w:rsidRPr="001D1454">
        <w:rPr>
          <w:rFonts w:ascii="David" w:eastAsia="Calibri" w:hAnsi="David"/>
          <w:b/>
          <w:bCs/>
          <w:noProof w:val="0"/>
          <w:rtl/>
        </w:rPr>
        <w:t>פלוני נ' פלונית</w:t>
      </w:r>
      <w:r w:rsidRPr="001D1454">
        <w:rPr>
          <w:rFonts w:ascii="David" w:eastAsia="Calibri" w:hAnsi="David"/>
          <w:noProof w:val="0"/>
          <w:rtl/>
        </w:rPr>
        <w:t xml:space="preserve"> (</w:t>
      </w:r>
      <w:r>
        <w:rPr>
          <w:rFonts w:ascii="David" w:eastAsia="Calibri" w:hAnsi="David"/>
          <w:noProof w:val="0"/>
          <w:rtl/>
        </w:rPr>
        <w:t>10.9.2024)‏‏</w:t>
      </w:r>
      <w:r w:rsidRPr="00FA1337">
        <w:rPr>
          <w:rFonts w:ascii="David" w:eastAsia="Calibri" w:hAnsi="David" w:hint="cs"/>
          <w:noProof w:val="0"/>
          <w:rtl/>
        </w:rPr>
        <w:t xml:space="preserve"> (להלן </w:t>
      </w:r>
      <w:r w:rsidRPr="00FA1337">
        <w:rPr>
          <w:rFonts w:ascii="David" w:eastAsia="Calibri" w:hAnsi="David"/>
          <w:noProof w:val="0"/>
          <w:rtl/>
        </w:rPr>
        <w:t>–</w:t>
      </w:r>
      <w:r w:rsidRPr="00FA1337">
        <w:rPr>
          <w:rFonts w:ascii="David" w:eastAsia="Calibri" w:hAnsi="David" w:hint="cs"/>
          <w:noProof w:val="0"/>
          <w:rtl/>
        </w:rPr>
        <w:t xml:space="preserve"> "</w:t>
      </w:r>
      <w:r w:rsidRPr="00FA1337">
        <w:rPr>
          <w:rFonts w:ascii="David" w:eastAsia="Calibri" w:hAnsi="David" w:hint="cs"/>
          <w:b/>
          <w:bCs/>
          <w:noProof w:val="0"/>
          <w:rtl/>
        </w:rPr>
        <w:t>בע"מ 7884/23</w:t>
      </w:r>
      <w:r w:rsidRPr="00FA1337">
        <w:rPr>
          <w:rFonts w:ascii="David" w:eastAsia="Calibri" w:hAnsi="David" w:hint="cs"/>
          <w:noProof w:val="0"/>
          <w:rtl/>
        </w:rPr>
        <w:t>")</w:t>
      </w:r>
      <w:r w:rsidRPr="00FA1337">
        <w:rPr>
          <w:rFonts w:ascii="David" w:eastAsia="Calibri" w:hAnsi="David"/>
          <w:noProof w:val="0"/>
          <w:rtl/>
        </w:rPr>
        <w:t>‏</w:t>
      </w:r>
      <w:r>
        <w:rPr>
          <w:rFonts w:ascii="David" w:eastAsia="Calibri" w:hAnsi="David" w:hint="cs"/>
          <w:noProof w:val="0"/>
          <w:rtl/>
        </w:rPr>
        <w:t xml:space="preserve">: </w:t>
      </w:r>
      <w:r w:rsidRPr="001D1454">
        <w:rPr>
          <w:rFonts w:ascii="David" w:eastAsia="Calibri" w:hAnsi="David"/>
          <w:noProof w:val="0"/>
          <w:rtl/>
        </w:rPr>
        <w:t>"</w:t>
      </w:r>
      <w:r w:rsidRPr="001D1454">
        <w:rPr>
          <w:rFonts w:ascii="David" w:eastAsia="Calibri" w:hAnsi="David"/>
          <w:b/>
          <w:bCs/>
          <w:noProof w:val="0"/>
          <w:rtl/>
        </w:rPr>
        <w:t xml:space="preserve">באשר לתחולת התיקון – בסעיף 2 לתיקון נקבע במפורש כי "הוראות חוק זה לא יפגעו בתוקפן של צוואות שנעשו לפניו". סעיף זה נוקט בלשון מעט עמומה, חלף נקיטה בלשון פשוטה המקובלת יותר בסעיפים מסוג זה (כגון: "הוראות חוק זה יחולו על צוואות שנעשו מיום פרסומו ואילך"; </w:t>
      </w:r>
      <w:r>
        <w:rPr>
          <w:rFonts w:ascii="David" w:eastAsia="Calibri" w:hAnsi="David" w:hint="cs"/>
          <w:b/>
          <w:bCs/>
          <w:noProof w:val="0"/>
          <w:rtl/>
        </w:rPr>
        <w:t>...</w:t>
      </w:r>
      <w:r w:rsidRPr="001D1454">
        <w:rPr>
          <w:rFonts w:ascii="David" w:eastAsia="Calibri" w:hAnsi="David"/>
          <w:b/>
          <w:bCs/>
          <w:noProof w:val="0"/>
          <w:rtl/>
        </w:rPr>
        <w:t xml:space="preserve"> מכל מקום, נראה כי לשונו של סעיף 2 לתיקון נועדה להגביל את תחולת התיקון ביחס לצוואות שעמדו בתוקפן ערב חקיקתו – ואף לא נטען אחרת על ידי הצדדים בענייננו. </w:t>
      </w:r>
      <w:r w:rsidRPr="001D1454">
        <w:rPr>
          <w:rFonts w:ascii="David" w:eastAsia="Calibri" w:hAnsi="David"/>
          <w:b/>
          <w:bCs/>
          <w:noProof w:val="0"/>
          <w:rtl/>
        </w:rPr>
        <w:lastRenderedPageBreak/>
        <w:t xml:space="preserve">לפיכך, ולאור החזקה הפרשנית הכללית שחוק אינו חל למפרע (ראו, למשל: בג"ץ 6051/95 רקנט נ' בית-הדין הארצי לעבודה, פ"ד נא(3) 289, פס' 24 לפסק דינו של השופט י' זמיר (1997); ע"א 27/64 בדר נ' לשכת עורכי־ הדין בישראל, פ"ד יח(1) 295, 300 (1964)), ומשלא מצאנו בתיקון הוראה מפורשת אשר מורה אחרת, </w:t>
      </w:r>
      <w:r w:rsidRPr="004D3135">
        <w:rPr>
          <w:rFonts w:ascii="David" w:eastAsia="Calibri" w:hAnsi="David"/>
          <w:b/>
          <w:bCs/>
          <w:noProof w:val="0"/>
          <w:u w:val="single"/>
          <w:rtl/>
        </w:rPr>
        <w:t>יש להחיל את הוראות סעיף 8א לחוק רק על צוואות שנערכו החל מיום חקיקת תיקון מס' 12. ממילא, ביחס לצוואות שנערכו קודם לכן יחול הדין שהיה קיים ערב התיקון</w:t>
      </w:r>
      <w:r w:rsidRPr="001D1454">
        <w:rPr>
          <w:rFonts w:ascii="David" w:eastAsia="Calibri" w:hAnsi="David"/>
          <w:noProof w:val="0"/>
          <w:rtl/>
        </w:rPr>
        <w:t>"</w:t>
      </w:r>
      <w:r>
        <w:rPr>
          <w:rFonts w:ascii="David" w:eastAsia="Calibri" w:hAnsi="David" w:hint="cs"/>
          <w:noProof w:val="0"/>
          <w:rtl/>
        </w:rPr>
        <w:t>. ראו: פסקה 26 לפסק הדין (הדגשות שלי- ה.ג.)</w:t>
      </w:r>
    </w:p>
    <w:p w:rsidR="004D3135" w:rsidRDefault="004D3135" w:rsidP="004D3135">
      <w:pPr>
        <w:spacing w:after="160" w:line="360" w:lineRule="auto"/>
        <w:ind w:left="368"/>
        <w:contextualSpacing/>
        <w:jc w:val="both"/>
        <w:rPr>
          <w:rFonts w:ascii="David" w:eastAsia="Calibri" w:hAnsi="David"/>
          <w:noProof w:val="0"/>
        </w:rPr>
      </w:pPr>
    </w:p>
    <w:p w:rsidR="00EE13AC" w:rsidRDefault="004D3135" w:rsidP="00EE13AC">
      <w:pPr>
        <w:numPr>
          <w:ilvl w:val="0"/>
          <w:numId w:val="4"/>
        </w:numPr>
        <w:spacing w:after="160" w:line="360" w:lineRule="auto"/>
        <w:ind w:left="368"/>
        <w:contextualSpacing/>
        <w:jc w:val="both"/>
        <w:rPr>
          <w:rFonts w:ascii="David" w:eastAsia="Calibri" w:hAnsi="David"/>
          <w:noProof w:val="0"/>
        </w:rPr>
      </w:pPr>
      <w:r>
        <w:rPr>
          <w:rFonts w:ascii="David" w:eastAsia="Calibri" w:hAnsi="David" w:hint="cs"/>
          <w:noProof w:val="0"/>
          <w:rtl/>
        </w:rPr>
        <w:t>כב' הש' וילנר המשיכה והבהירה שם, כי</w:t>
      </w:r>
      <w:r w:rsidRPr="00FA1337">
        <w:rPr>
          <w:rFonts w:ascii="David" w:eastAsia="Calibri" w:hAnsi="David" w:hint="cs"/>
          <w:noProof w:val="0"/>
          <w:rtl/>
        </w:rPr>
        <w:t>:</w:t>
      </w:r>
      <w:r w:rsidRPr="00FA1337">
        <w:rPr>
          <w:rFonts w:ascii="David" w:eastAsia="Calibri" w:hAnsi="David"/>
          <w:noProof w:val="0"/>
          <w:rtl/>
        </w:rPr>
        <w:t xml:space="preserve"> "</w:t>
      </w:r>
      <w:r w:rsidRPr="00FA1337">
        <w:rPr>
          <w:rFonts w:ascii="David" w:eastAsia="Calibri" w:hAnsi="David"/>
          <w:b/>
          <w:bCs/>
          <w:noProof w:val="0"/>
          <w:rtl/>
        </w:rPr>
        <w:t>אמנם, סעיף 8א לחוק הירושה מתייחס לרכיב ההסתמכות בין הצדדים בקשר לצוואות הדדיות, וקובע כי "בני זוג רשאים לערוך צוואות מתוך הסתמכות של בן הזוג האחד על צוואת בן הזוג האחר". אולם, אין בהוראה זו כדי להשפיע על שאלת תחולת התיקון על צוואות שנערכו קודם לחקיקתו. כאמור לעיל, חזקה על כל דבר חקיקה, ובתוך כך גם על תיקון מס' 12, כי תחולת הוראותיו היא מיום חקיקתו והלאה</w:t>
      </w:r>
      <w:r w:rsidRPr="00FA1337">
        <w:rPr>
          <w:rFonts w:ascii="David" w:eastAsia="Calibri" w:hAnsi="David" w:hint="cs"/>
          <w:noProof w:val="0"/>
          <w:rtl/>
        </w:rPr>
        <w:t>.</w:t>
      </w:r>
      <w:r w:rsidRPr="00FA1337">
        <w:rPr>
          <w:rFonts w:ascii="David" w:eastAsia="Calibri" w:hAnsi="David" w:hint="cs"/>
          <w:b/>
          <w:bCs/>
          <w:noProof w:val="0"/>
          <w:rtl/>
        </w:rPr>
        <w:t xml:space="preserve"> </w:t>
      </w:r>
      <w:r w:rsidRPr="00FA1337">
        <w:rPr>
          <w:rFonts w:ascii="David" w:eastAsia="Calibri" w:hAnsi="David"/>
          <w:b/>
          <w:bCs/>
          <w:noProof w:val="0"/>
          <w:rtl/>
        </w:rPr>
        <w:t>כמו כן, סעיף 2 לתיקון קובע כאמור הוראה המגבילה את תחולת הוראות התיקון ביחס לצוואות שנעשו ערב חקיקתו</w:t>
      </w:r>
      <w:r>
        <w:rPr>
          <w:rFonts w:ascii="David" w:eastAsia="Calibri" w:hAnsi="David" w:hint="cs"/>
          <w:b/>
          <w:bCs/>
          <w:noProof w:val="0"/>
          <w:rtl/>
        </w:rPr>
        <w:t>. בנו</w:t>
      </w:r>
      <w:r w:rsidRPr="00FA1337">
        <w:rPr>
          <w:rFonts w:ascii="David" w:eastAsia="Calibri" w:hAnsi="David"/>
          <w:b/>
          <w:bCs/>
          <w:noProof w:val="0"/>
          <w:rtl/>
        </w:rPr>
        <w:t>סף, לא מצאנו בחוק הירושה קביעה כי בניגוד ליתר הוראות החוק, הוראות סעיף 8א יחולו על צוואה בהתאם למועד חידוש ההסתמכות בין הצדדים לה, חלף מועד עריכת הצוואה – שהוא, באופן טבעי, המועד הרלוונטי לבחינת המצע המשפטי בו הצוואה נטועה</w:t>
      </w:r>
      <w:r>
        <w:rPr>
          <w:rFonts w:ascii="David" w:eastAsia="Calibri" w:hAnsi="David" w:hint="cs"/>
          <w:b/>
          <w:bCs/>
          <w:noProof w:val="0"/>
          <w:rtl/>
        </w:rPr>
        <w:t xml:space="preserve">". </w:t>
      </w:r>
      <w:r>
        <w:rPr>
          <w:rFonts w:ascii="David" w:eastAsia="Calibri" w:hAnsi="David" w:hint="cs"/>
          <w:noProof w:val="0"/>
          <w:rtl/>
        </w:rPr>
        <w:t xml:space="preserve">ראו: </w:t>
      </w:r>
      <w:r w:rsidRPr="00FA1337">
        <w:rPr>
          <w:rFonts w:ascii="David" w:eastAsia="Calibri" w:hAnsi="David" w:hint="cs"/>
          <w:noProof w:val="0"/>
          <w:rtl/>
        </w:rPr>
        <w:t>פסקה 31 לפסק הדין.</w:t>
      </w:r>
    </w:p>
    <w:p w:rsidR="000022F8" w:rsidRDefault="000022F8" w:rsidP="000022F8">
      <w:pPr>
        <w:spacing w:after="160" w:line="360" w:lineRule="auto"/>
        <w:ind w:left="368"/>
        <w:contextualSpacing/>
        <w:jc w:val="both"/>
        <w:rPr>
          <w:rFonts w:ascii="David" w:eastAsia="Calibri" w:hAnsi="David"/>
          <w:noProof w:val="0"/>
        </w:rPr>
      </w:pPr>
    </w:p>
    <w:p w:rsidR="000A689A" w:rsidRPr="00EE13AC" w:rsidRDefault="00D033EF" w:rsidP="00EE13AC">
      <w:pPr>
        <w:numPr>
          <w:ilvl w:val="0"/>
          <w:numId w:val="4"/>
        </w:numPr>
        <w:spacing w:after="160" w:line="360" w:lineRule="auto"/>
        <w:ind w:left="368"/>
        <w:contextualSpacing/>
        <w:jc w:val="both"/>
        <w:rPr>
          <w:rFonts w:ascii="David" w:eastAsia="Calibri" w:hAnsi="David"/>
          <w:noProof w:val="0"/>
        </w:rPr>
      </w:pPr>
      <w:r>
        <w:rPr>
          <w:rFonts w:ascii="David" w:eastAsia="Calibri" w:hAnsi="David"/>
          <w:noProof w:val="0"/>
          <w:rtl/>
        </w:rPr>
        <w:t xml:space="preserve">המבקשות טענו כי מאחר </w:t>
      </w:r>
      <w:r>
        <w:rPr>
          <w:rFonts w:ascii="David" w:eastAsia="Calibri" w:hAnsi="David"/>
          <w:b/>
          <w:bCs/>
          <w:noProof w:val="0"/>
          <w:rtl/>
        </w:rPr>
        <w:t>והצוואה המאוחרת נערכה בשנת 2015</w:t>
      </w:r>
      <w:r>
        <w:rPr>
          <w:rFonts w:ascii="David" w:eastAsia="Calibri" w:hAnsi="David"/>
          <w:noProof w:val="0"/>
          <w:rtl/>
        </w:rPr>
        <w:t>- לאחר התיקון לחוק - הרי שעליה לעמוד בתנאי סעיף 8א לחוק. ב"כ היועמ"ש טענה בעמדתה מיום 18.8.24 כי לכאורה על הצוואה המבטלת משנת 2015 לעמוד בתנאי 8א', אולם סוגיה זו מערבת שאלות של פרשנות חוק וההכרעה בהן נתונה לשיקול דעת בית המשפט. לשיטתה, המנוחה לא הייתה רשאית לערוך צוואה המבטלת את הצוואה ההדדית באופן הפוגע בקנייני הזוכים לפיה (ראו סע' 23-25 לעמדתה).</w:t>
      </w:r>
    </w:p>
    <w:p w:rsidR="00C26DF5" w:rsidRPr="00D033EF" w:rsidRDefault="00C26DF5" w:rsidP="00C26DF5">
      <w:pPr>
        <w:spacing w:after="160" w:line="360" w:lineRule="auto"/>
        <w:ind w:left="368"/>
        <w:contextualSpacing/>
        <w:jc w:val="both"/>
        <w:rPr>
          <w:rFonts w:ascii="David" w:eastAsia="Calibri" w:hAnsi="David"/>
          <w:noProof w:val="0"/>
        </w:rPr>
      </w:pPr>
    </w:p>
    <w:p w:rsidR="000A689A" w:rsidRPr="000A689A" w:rsidRDefault="000A689A" w:rsidP="00A12106">
      <w:pPr>
        <w:numPr>
          <w:ilvl w:val="0"/>
          <w:numId w:val="4"/>
        </w:numPr>
        <w:spacing w:after="160" w:line="360" w:lineRule="auto"/>
        <w:ind w:left="368"/>
        <w:contextualSpacing/>
        <w:jc w:val="both"/>
        <w:rPr>
          <w:rFonts w:ascii="David" w:eastAsia="Calibri" w:hAnsi="David"/>
          <w:noProof w:val="0"/>
          <w:rtl/>
        </w:rPr>
      </w:pPr>
      <w:r>
        <w:rPr>
          <w:rFonts w:ascii="David" w:eastAsia="Calibri" w:hAnsi="David" w:hint="cs"/>
          <w:noProof w:val="0"/>
          <w:rtl/>
        </w:rPr>
        <w:t xml:space="preserve">אולם, </w:t>
      </w:r>
      <w:r w:rsidRPr="000A689A">
        <w:rPr>
          <w:rFonts w:ascii="David" w:eastAsia="Calibri" w:hAnsi="David" w:hint="cs"/>
          <w:noProof w:val="0"/>
          <w:rtl/>
        </w:rPr>
        <w:t xml:space="preserve">טענה זו </w:t>
      </w:r>
      <w:r w:rsidRPr="000A689A">
        <w:rPr>
          <w:rFonts w:ascii="David" w:eastAsia="Calibri" w:hAnsi="David"/>
          <w:noProof w:val="0"/>
          <w:rtl/>
        </w:rPr>
        <w:t xml:space="preserve">עומדת בסתירה </w:t>
      </w:r>
      <w:r>
        <w:rPr>
          <w:rFonts w:ascii="David" w:eastAsia="Calibri" w:hAnsi="David" w:hint="cs"/>
          <w:noProof w:val="0"/>
          <w:rtl/>
        </w:rPr>
        <w:t xml:space="preserve">להלכה שנתקבעה בפסיקה לפיה אף אם הצוואה המאוחרת נערכה לאחר התיקון לחוק, </w:t>
      </w:r>
      <w:r w:rsidR="00A12106">
        <w:rPr>
          <w:rFonts w:ascii="David" w:eastAsia="Calibri" w:hAnsi="David" w:hint="cs"/>
          <w:noProof w:val="0"/>
          <w:rtl/>
        </w:rPr>
        <w:t>יש לבחון את הי</w:t>
      </w:r>
      <w:r w:rsidR="00752498">
        <w:rPr>
          <w:rFonts w:ascii="David" w:eastAsia="Calibri" w:hAnsi="David" w:hint="cs"/>
          <w:noProof w:val="0"/>
          <w:rtl/>
        </w:rPr>
        <w:t>כולת לשנות את הצוואה בהתאם לאומד</w:t>
      </w:r>
      <w:r w:rsidR="00A12106">
        <w:rPr>
          <w:rFonts w:ascii="David" w:eastAsia="Calibri" w:hAnsi="David" w:hint="cs"/>
          <w:noProof w:val="0"/>
          <w:rtl/>
        </w:rPr>
        <w:t xml:space="preserve"> דעת הצדדים </w:t>
      </w:r>
      <w:r w:rsidR="00A12106" w:rsidRPr="008C2F0A">
        <w:rPr>
          <w:rFonts w:ascii="David" w:eastAsia="Calibri" w:hAnsi="David" w:hint="cs"/>
          <w:b/>
          <w:bCs/>
          <w:noProof w:val="0"/>
          <w:rtl/>
        </w:rPr>
        <w:t>בעת עריכת הצוואה ההדדית</w:t>
      </w:r>
      <w:r w:rsidR="00A12106">
        <w:rPr>
          <w:rFonts w:ascii="David" w:eastAsia="Calibri" w:hAnsi="David" w:hint="cs"/>
          <w:noProof w:val="0"/>
          <w:rtl/>
        </w:rPr>
        <w:t>, שבעניינו נערכה כאמור עובר לתיקון החוק.</w:t>
      </w:r>
    </w:p>
    <w:p w:rsidR="000A689A" w:rsidRPr="000A689A" w:rsidRDefault="000A689A" w:rsidP="000A689A">
      <w:pPr>
        <w:spacing w:after="160" w:line="256" w:lineRule="auto"/>
        <w:ind w:left="368"/>
        <w:contextualSpacing/>
        <w:rPr>
          <w:rFonts w:ascii="David" w:eastAsia="Calibri" w:hAnsi="David"/>
          <w:noProof w:val="0"/>
        </w:rPr>
      </w:pPr>
    </w:p>
    <w:p w:rsidR="000A689A" w:rsidRPr="000A689A" w:rsidRDefault="00A12106" w:rsidP="00A12106">
      <w:pPr>
        <w:numPr>
          <w:ilvl w:val="0"/>
          <w:numId w:val="4"/>
        </w:numPr>
        <w:spacing w:after="160" w:line="360" w:lineRule="auto"/>
        <w:ind w:left="368"/>
        <w:contextualSpacing/>
        <w:jc w:val="both"/>
        <w:rPr>
          <w:rFonts w:ascii="David" w:eastAsia="Calibri" w:hAnsi="David"/>
          <w:noProof w:val="0"/>
          <w:rtl/>
        </w:rPr>
      </w:pPr>
      <w:r>
        <w:rPr>
          <w:rFonts w:ascii="David" w:eastAsia="Calibri" w:hAnsi="David" w:hint="cs"/>
          <w:noProof w:val="0"/>
          <w:rtl/>
        </w:rPr>
        <w:t xml:space="preserve">וראו </w:t>
      </w:r>
      <w:r w:rsidR="000A689A" w:rsidRPr="000A689A">
        <w:rPr>
          <w:rFonts w:ascii="David" w:eastAsia="Calibri" w:hAnsi="David"/>
          <w:noProof w:val="0"/>
          <w:rtl/>
        </w:rPr>
        <w:t xml:space="preserve">דברי </w:t>
      </w:r>
      <w:r>
        <w:rPr>
          <w:rFonts w:ascii="David" w:eastAsia="Calibri" w:hAnsi="David" w:hint="cs"/>
          <w:noProof w:val="0"/>
          <w:rtl/>
        </w:rPr>
        <w:t xml:space="preserve">כב' השופט ש' שוחט </w:t>
      </w:r>
      <w:r w:rsidR="000A689A" w:rsidRPr="000A689A">
        <w:rPr>
          <w:rFonts w:ascii="David" w:eastAsia="Calibri" w:hAnsi="David"/>
          <w:noProof w:val="0"/>
          <w:rtl/>
        </w:rPr>
        <w:t>בעמ"ש (מחוזי תל אביב-יפו) 36694-10-16 </w:t>
      </w:r>
      <w:r w:rsidR="000A689A" w:rsidRPr="000A689A">
        <w:rPr>
          <w:rFonts w:ascii="David" w:eastAsia="Calibri" w:hAnsi="David"/>
          <w:b/>
          <w:bCs/>
          <w:noProof w:val="0"/>
          <w:rtl/>
        </w:rPr>
        <w:t xml:space="preserve">ב.א. נ' י.ל </w:t>
      </w:r>
      <w:r w:rsidR="000A689A" w:rsidRPr="000A689A">
        <w:rPr>
          <w:rFonts w:ascii="David" w:eastAsia="Calibri" w:hAnsi="David"/>
          <w:noProof w:val="0"/>
          <w:rtl/>
        </w:rPr>
        <w:t>(26.11.2017) (להלן – "</w:t>
      </w:r>
      <w:r w:rsidR="000A689A" w:rsidRPr="000A689A">
        <w:rPr>
          <w:rFonts w:ascii="David" w:eastAsia="Calibri" w:hAnsi="David"/>
          <w:b/>
          <w:bCs/>
          <w:noProof w:val="0"/>
          <w:rtl/>
        </w:rPr>
        <w:t>עמ"ש 36694-10-16</w:t>
      </w:r>
      <w:r w:rsidR="000A689A" w:rsidRPr="000A689A">
        <w:rPr>
          <w:rFonts w:ascii="David" w:eastAsia="Calibri" w:hAnsi="David"/>
          <w:noProof w:val="0"/>
          <w:rtl/>
        </w:rPr>
        <w:t>"), לפיהם: "</w:t>
      </w:r>
      <w:r w:rsidR="000A689A" w:rsidRPr="000A689A">
        <w:rPr>
          <w:rFonts w:ascii="David" w:eastAsia="Calibri" w:hAnsi="David"/>
          <w:b/>
          <w:bCs/>
          <w:noProof w:val="0"/>
          <w:rtl/>
        </w:rPr>
        <w:t xml:space="preserve">מבחינה זו אין חשיבות שהצוואה המבטלת את הצוואה ההדדית נערכה </w:t>
      </w:r>
      <w:r w:rsidR="000A689A" w:rsidRPr="000A689A">
        <w:rPr>
          <w:rFonts w:ascii="David" w:eastAsia="Calibri" w:hAnsi="David"/>
          <w:b/>
          <w:bCs/>
          <w:noProof w:val="0"/>
          <w:u w:val="single"/>
          <w:rtl/>
        </w:rPr>
        <w:t>לאחר</w:t>
      </w:r>
      <w:r w:rsidR="000A689A" w:rsidRPr="000A689A">
        <w:rPr>
          <w:rFonts w:ascii="David" w:eastAsia="Calibri" w:hAnsi="David"/>
          <w:b/>
          <w:bCs/>
          <w:noProof w:val="0"/>
          <w:rtl/>
        </w:rPr>
        <w:t xml:space="preserve"> כניסת התיקון לתוקף, שכן אומד הדעת של המצווים הדדית נבחן לעת עשיית הצוואות ההדדיות, </w:t>
      </w:r>
      <w:r w:rsidR="000A689A" w:rsidRPr="000A689A">
        <w:rPr>
          <w:rFonts w:ascii="David" w:eastAsia="Calibri" w:hAnsi="David"/>
          <w:b/>
          <w:bCs/>
          <w:noProof w:val="0"/>
          <w:u w:val="single"/>
          <w:rtl/>
        </w:rPr>
        <w:t>בהתאם לדין שחל אותה עת</w:t>
      </w:r>
      <w:r w:rsidR="000A689A" w:rsidRPr="000A689A">
        <w:rPr>
          <w:rFonts w:ascii="David" w:eastAsia="Calibri" w:hAnsi="David"/>
          <w:b/>
          <w:bCs/>
          <w:noProof w:val="0"/>
          <w:rtl/>
        </w:rPr>
        <w:t>, ולא לעת עריכת הצוואה המאוחרת המבטלת אותן</w:t>
      </w:r>
      <w:r w:rsidR="000A689A" w:rsidRPr="000A689A">
        <w:rPr>
          <w:rFonts w:ascii="David" w:eastAsia="Calibri" w:hAnsi="David"/>
          <w:noProof w:val="0"/>
          <w:rtl/>
        </w:rPr>
        <w:t>". ראו: פסקה 9 לפסק הדין. (ההדגשות במקור – ה.ג.).</w:t>
      </w:r>
    </w:p>
    <w:p w:rsidR="000A689A" w:rsidRPr="000A689A" w:rsidRDefault="000A689A" w:rsidP="000A689A">
      <w:pPr>
        <w:spacing w:after="160" w:line="256" w:lineRule="auto"/>
        <w:ind w:left="368"/>
        <w:contextualSpacing/>
        <w:rPr>
          <w:rFonts w:ascii="David" w:eastAsia="Calibri" w:hAnsi="David"/>
          <w:noProof w:val="0"/>
        </w:rPr>
      </w:pPr>
    </w:p>
    <w:p w:rsidR="001D1454" w:rsidRDefault="000A689A" w:rsidP="00987BE1">
      <w:pPr>
        <w:numPr>
          <w:ilvl w:val="0"/>
          <w:numId w:val="4"/>
        </w:numPr>
        <w:spacing w:after="160" w:line="360" w:lineRule="auto"/>
        <w:ind w:left="368"/>
        <w:contextualSpacing/>
        <w:jc w:val="both"/>
        <w:rPr>
          <w:rFonts w:ascii="David" w:eastAsia="Calibri" w:hAnsi="David"/>
          <w:noProof w:val="0"/>
        </w:rPr>
      </w:pPr>
      <w:r w:rsidRPr="000A689A">
        <w:rPr>
          <w:rFonts w:ascii="David" w:eastAsia="Calibri" w:hAnsi="David" w:hint="cs"/>
          <w:noProof w:val="0"/>
          <w:rtl/>
        </w:rPr>
        <w:lastRenderedPageBreak/>
        <w:t xml:space="preserve">אציין, כי </w:t>
      </w:r>
      <w:r w:rsidRPr="000A689A">
        <w:rPr>
          <w:rFonts w:ascii="David" w:eastAsia="Calibri" w:hAnsi="David"/>
          <w:noProof w:val="0"/>
          <w:rtl/>
        </w:rPr>
        <w:t>פסק דינו של כב' השופט גרינברגר בת"ע (משפחה ירושלים) 40180/10 </w:t>
      </w:r>
      <w:r w:rsidRPr="000A689A">
        <w:rPr>
          <w:rFonts w:ascii="David" w:eastAsia="Calibri" w:hAnsi="David"/>
          <w:b/>
          <w:bCs/>
          <w:noProof w:val="0"/>
          <w:rtl/>
        </w:rPr>
        <w:t>פלונית ואח' נ' אלמוני</w:t>
      </w:r>
      <w:r w:rsidRPr="000A689A">
        <w:rPr>
          <w:rFonts w:ascii="David" w:eastAsia="Calibri" w:hAnsi="David"/>
          <w:noProof w:val="0"/>
          <w:rtl/>
        </w:rPr>
        <w:t> (מיום 29.06.2011)‏</w:t>
      </w:r>
      <w:r w:rsidRPr="000A689A">
        <w:rPr>
          <w:rFonts w:ascii="David" w:eastAsia="Calibri" w:hAnsi="David" w:hint="cs"/>
          <w:noProof w:val="0"/>
          <w:rtl/>
        </w:rPr>
        <w:t xml:space="preserve">, אליו הפנו המבקשות, אינו </w:t>
      </w:r>
      <w:r w:rsidR="00A12106">
        <w:rPr>
          <w:rFonts w:ascii="David" w:eastAsia="Calibri" w:hAnsi="David" w:hint="cs"/>
          <w:noProof w:val="0"/>
          <w:rtl/>
        </w:rPr>
        <w:t xml:space="preserve">בגדר הלכה מחייבת, </w:t>
      </w:r>
      <w:r w:rsidRPr="000A689A">
        <w:rPr>
          <w:rFonts w:ascii="David" w:eastAsia="Calibri" w:hAnsi="David" w:hint="cs"/>
          <w:noProof w:val="0"/>
          <w:rtl/>
        </w:rPr>
        <w:t xml:space="preserve">בהתאם לסעיף 20 </w:t>
      </w:r>
      <w:r w:rsidRPr="000A689A">
        <w:rPr>
          <w:rFonts w:ascii="David" w:eastAsia="Calibri" w:hAnsi="David" w:hint="cs"/>
          <w:b/>
          <w:bCs/>
          <w:noProof w:val="0"/>
          <w:rtl/>
        </w:rPr>
        <w:t>לחוק יסוד: השפיטה</w:t>
      </w:r>
      <w:r w:rsidRPr="000A689A">
        <w:rPr>
          <w:rFonts w:ascii="David" w:eastAsia="Calibri" w:hAnsi="David" w:hint="cs"/>
          <w:noProof w:val="0"/>
          <w:rtl/>
        </w:rPr>
        <w:t xml:space="preserve">, שכן </w:t>
      </w:r>
      <w:r w:rsidRPr="000A689A">
        <w:rPr>
          <w:rFonts w:ascii="David" w:eastAsia="Calibri" w:hAnsi="David"/>
          <w:noProof w:val="0"/>
          <w:rtl/>
        </w:rPr>
        <w:t>ניתן ב</w:t>
      </w:r>
      <w:r w:rsidR="00A12106">
        <w:rPr>
          <w:rFonts w:ascii="David" w:eastAsia="Calibri" w:hAnsi="David" w:hint="cs"/>
          <w:noProof w:val="0"/>
          <w:rtl/>
        </w:rPr>
        <w:t>ביהמ"ש לענייני</w:t>
      </w:r>
      <w:r w:rsidRPr="000A689A">
        <w:rPr>
          <w:rFonts w:ascii="David" w:eastAsia="Calibri" w:hAnsi="David"/>
          <w:noProof w:val="0"/>
          <w:rtl/>
        </w:rPr>
        <w:t xml:space="preserve"> משפחה, </w:t>
      </w:r>
      <w:r w:rsidRPr="000A689A">
        <w:rPr>
          <w:rFonts w:ascii="David" w:eastAsia="Calibri" w:hAnsi="David" w:hint="cs"/>
          <w:noProof w:val="0"/>
          <w:rtl/>
        </w:rPr>
        <w:t>ומכל מקום</w:t>
      </w:r>
      <w:r w:rsidR="00A12106">
        <w:rPr>
          <w:rFonts w:ascii="David" w:eastAsia="Calibri" w:hAnsi="David" w:hint="cs"/>
          <w:noProof w:val="0"/>
          <w:rtl/>
        </w:rPr>
        <w:t xml:space="preserve"> הוא</w:t>
      </w:r>
      <w:r w:rsidRPr="000A689A">
        <w:rPr>
          <w:rFonts w:ascii="David" w:eastAsia="Calibri" w:hAnsi="David" w:hint="cs"/>
          <w:noProof w:val="0"/>
          <w:rtl/>
        </w:rPr>
        <w:t xml:space="preserve"> ניתן </w:t>
      </w:r>
      <w:r w:rsidRPr="000A689A">
        <w:rPr>
          <w:rFonts w:ascii="David" w:eastAsia="Calibri" w:hAnsi="David" w:hint="cs"/>
          <w:b/>
          <w:bCs/>
          <w:noProof w:val="0"/>
          <w:rtl/>
        </w:rPr>
        <w:t>קודם</w:t>
      </w:r>
      <w:r w:rsidRPr="000A689A">
        <w:rPr>
          <w:rFonts w:ascii="David" w:eastAsia="Calibri" w:hAnsi="David" w:hint="cs"/>
          <w:noProof w:val="0"/>
          <w:rtl/>
        </w:rPr>
        <w:t xml:space="preserve"> לפסיקה </w:t>
      </w:r>
      <w:r w:rsidRPr="00093091">
        <w:rPr>
          <w:rFonts w:ascii="David" w:eastAsia="Calibri" w:hAnsi="David" w:hint="cs"/>
          <w:noProof w:val="0"/>
          <w:rtl/>
        </w:rPr>
        <w:t xml:space="preserve">המאוחרת של ביהמ"ש המחוזי הנ"ל </w:t>
      </w:r>
      <w:r w:rsidR="00093091" w:rsidRPr="00093091">
        <w:rPr>
          <w:rFonts w:ascii="David" w:eastAsia="Calibri" w:hAnsi="David" w:hint="cs"/>
          <w:noProof w:val="0"/>
          <w:rtl/>
        </w:rPr>
        <w:t>ב</w:t>
      </w:r>
      <w:r w:rsidRPr="00093091">
        <w:rPr>
          <w:rFonts w:ascii="David" w:eastAsia="Calibri" w:hAnsi="David"/>
          <w:noProof w:val="0"/>
          <w:rtl/>
        </w:rPr>
        <w:t>עמ"ש 36694-10-16</w:t>
      </w:r>
      <w:r w:rsidRPr="00093091">
        <w:rPr>
          <w:rFonts w:ascii="David" w:eastAsia="Calibri" w:hAnsi="David" w:hint="cs"/>
          <w:noProof w:val="0"/>
          <w:rtl/>
        </w:rPr>
        <w:t>.</w:t>
      </w:r>
    </w:p>
    <w:p w:rsidR="001D1454" w:rsidRDefault="001D1454" w:rsidP="001D1454">
      <w:pPr>
        <w:pStyle w:val="ae"/>
        <w:rPr>
          <w:rFonts w:ascii="David" w:eastAsia="Calibri" w:hAnsi="David"/>
          <w:noProof w:val="0"/>
          <w:rtl/>
        </w:rPr>
      </w:pPr>
    </w:p>
    <w:p w:rsidR="000A689A" w:rsidRPr="00A12106" w:rsidRDefault="000A689A" w:rsidP="000A689A">
      <w:pPr>
        <w:numPr>
          <w:ilvl w:val="0"/>
          <w:numId w:val="4"/>
        </w:numPr>
        <w:spacing w:after="160" w:line="360" w:lineRule="auto"/>
        <w:ind w:left="368"/>
        <w:contextualSpacing/>
        <w:jc w:val="both"/>
        <w:rPr>
          <w:rFonts w:ascii="David" w:eastAsia="Calibri" w:hAnsi="David"/>
          <w:noProof w:val="0"/>
          <w:rtl/>
        </w:rPr>
      </w:pPr>
      <w:r w:rsidRPr="00A12106">
        <w:rPr>
          <w:rFonts w:ascii="David" w:eastAsia="Calibri" w:hAnsi="David"/>
          <w:noProof w:val="0"/>
          <w:rtl/>
        </w:rPr>
        <w:t>המבקשת 1 סומכת פרשנותה וטיעוניה לחילופין, על "</w:t>
      </w:r>
      <w:r w:rsidRPr="00A12106">
        <w:rPr>
          <w:rFonts w:ascii="David" w:eastAsia="Calibri" w:hAnsi="David"/>
          <w:b/>
          <w:bCs/>
          <w:noProof w:val="0"/>
          <w:rtl/>
        </w:rPr>
        <w:t>האווירה המשפטית</w:t>
      </w:r>
      <w:r w:rsidRPr="00A12106">
        <w:rPr>
          <w:rFonts w:ascii="David" w:eastAsia="Calibri" w:hAnsi="David"/>
          <w:noProof w:val="0"/>
          <w:rtl/>
        </w:rPr>
        <w:t xml:space="preserve">" ששררה בעת עריכת הצוואה ההדדית, ביום 27.4.2005, לפיה עקרון ההסתמכות יעוגן בחוק ללא צורך בקביעה מפורשת לכך בצוואה ההדדית; ועל רקע התיקון שעבר בקריאה ראשונה ביום 22.3.2005, עת הליכי החקיקה של התיקון היו בעיצומם. </w:t>
      </w:r>
    </w:p>
    <w:p w:rsidR="000A689A" w:rsidRPr="00A12106" w:rsidRDefault="000A689A" w:rsidP="000A689A">
      <w:pPr>
        <w:spacing w:line="360" w:lineRule="auto"/>
        <w:ind w:left="368"/>
        <w:contextualSpacing/>
        <w:jc w:val="both"/>
        <w:rPr>
          <w:rFonts w:ascii="David" w:eastAsia="Calibri" w:hAnsi="David"/>
          <w:noProof w:val="0"/>
        </w:rPr>
      </w:pPr>
    </w:p>
    <w:p w:rsidR="000A689A" w:rsidRPr="00A12106" w:rsidRDefault="000A689A" w:rsidP="000A689A">
      <w:pPr>
        <w:numPr>
          <w:ilvl w:val="0"/>
          <w:numId w:val="4"/>
        </w:numPr>
        <w:spacing w:after="160" w:line="360" w:lineRule="auto"/>
        <w:ind w:left="368"/>
        <w:contextualSpacing/>
        <w:jc w:val="both"/>
        <w:rPr>
          <w:rFonts w:ascii="David" w:eastAsia="Calibri" w:hAnsi="David"/>
          <w:noProof w:val="0"/>
        </w:rPr>
      </w:pPr>
      <w:r w:rsidRPr="00A12106">
        <w:rPr>
          <w:rFonts w:ascii="David" w:eastAsia="Calibri" w:hAnsi="David"/>
          <w:noProof w:val="0"/>
          <w:rtl/>
        </w:rPr>
        <w:t>אלא שכאמור, בהתאם להוראות המעבר לא ניתן אפוא להתייחס להליכי החקיקה של התיקון לחוק, אף לו היו בעיצומם, כדין החל על צוואות הדדיות לפני מועד פרסומו של התיקון</w:t>
      </w:r>
      <w:r w:rsidR="008C2F0A">
        <w:rPr>
          <w:rFonts w:ascii="David" w:eastAsia="Calibri" w:hAnsi="David" w:hint="cs"/>
          <w:noProof w:val="0"/>
          <w:rtl/>
        </w:rPr>
        <w:t xml:space="preserve"> וכניסתו לתוקף</w:t>
      </w:r>
      <w:r w:rsidRPr="00A12106">
        <w:rPr>
          <w:rFonts w:ascii="David" w:eastAsia="Calibri" w:hAnsi="David"/>
          <w:noProof w:val="0"/>
          <w:rtl/>
        </w:rPr>
        <w:t xml:space="preserve">. </w:t>
      </w:r>
    </w:p>
    <w:p w:rsidR="000A689A" w:rsidRPr="00A12106" w:rsidRDefault="000A689A" w:rsidP="000A689A">
      <w:pPr>
        <w:spacing w:after="160" w:line="256" w:lineRule="auto"/>
        <w:ind w:left="720"/>
        <w:contextualSpacing/>
        <w:rPr>
          <w:rFonts w:ascii="David" w:eastAsia="Calibri" w:hAnsi="David"/>
          <w:noProof w:val="0"/>
        </w:rPr>
      </w:pPr>
    </w:p>
    <w:p w:rsidR="00E5773B" w:rsidRPr="00FA1337" w:rsidRDefault="000A689A" w:rsidP="00FA1337">
      <w:pPr>
        <w:numPr>
          <w:ilvl w:val="0"/>
          <w:numId w:val="4"/>
        </w:numPr>
        <w:spacing w:after="160" w:line="360" w:lineRule="auto"/>
        <w:ind w:left="368"/>
        <w:contextualSpacing/>
        <w:jc w:val="both"/>
        <w:rPr>
          <w:rFonts w:ascii="David" w:eastAsia="Calibri" w:hAnsi="David"/>
          <w:noProof w:val="0"/>
        </w:rPr>
      </w:pPr>
      <w:r w:rsidRPr="00A12106">
        <w:rPr>
          <w:rFonts w:ascii="David" w:eastAsia="Calibri" w:hAnsi="David"/>
          <w:noProof w:val="0"/>
          <w:rtl/>
        </w:rPr>
        <w:t>לכל היותר ניתן ללמוד מכך על הנטל המוטל</w:t>
      </w:r>
      <w:r w:rsidRPr="00A12106">
        <w:rPr>
          <w:rFonts w:ascii="David" w:eastAsia="Calibri" w:hAnsi="David" w:hint="cs"/>
          <w:noProof w:val="0"/>
          <w:rtl/>
        </w:rPr>
        <w:t>,</w:t>
      </w:r>
      <w:r w:rsidRPr="00A12106">
        <w:rPr>
          <w:rFonts w:ascii="David" w:eastAsia="Calibri" w:hAnsi="David"/>
          <w:noProof w:val="0"/>
          <w:rtl/>
        </w:rPr>
        <w:t xml:space="preserve"> אף ביתר שאת</w:t>
      </w:r>
      <w:r w:rsidRPr="00A12106">
        <w:rPr>
          <w:rFonts w:ascii="David" w:eastAsia="Calibri" w:hAnsi="David" w:hint="cs"/>
          <w:noProof w:val="0"/>
          <w:rtl/>
        </w:rPr>
        <w:t>,</w:t>
      </w:r>
      <w:r w:rsidRPr="00A12106">
        <w:rPr>
          <w:rFonts w:ascii="David" w:eastAsia="Calibri" w:hAnsi="David"/>
          <w:noProof w:val="0"/>
          <w:rtl/>
        </w:rPr>
        <w:t xml:space="preserve"> לפתחם של עורכי הדין שערכו באותה "תקופת ביניים" זו צוואות הדדיות, </w:t>
      </w:r>
      <w:r w:rsidRPr="00A12106">
        <w:rPr>
          <w:rFonts w:ascii="David" w:eastAsia="Calibri" w:hAnsi="David" w:hint="cs"/>
          <w:noProof w:val="0"/>
          <w:rtl/>
        </w:rPr>
        <w:t xml:space="preserve">לדייק את הוראות הצוואה </w:t>
      </w:r>
      <w:r w:rsidR="00093091" w:rsidRPr="00A12106">
        <w:rPr>
          <w:rFonts w:ascii="David" w:eastAsia="Calibri" w:hAnsi="David"/>
          <w:noProof w:val="0"/>
          <w:rtl/>
        </w:rPr>
        <w:t xml:space="preserve">הדדית שנערכה </w:t>
      </w:r>
      <w:r w:rsidR="00093091">
        <w:rPr>
          <w:rFonts w:ascii="David" w:eastAsia="Calibri" w:hAnsi="David" w:hint="cs"/>
          <w:noProof w:val="0"/>
          <w:rtl/>
        </w:rPr>
        <w:t>ערב</w:t>
      </w:r>
      <w:r w:rsidR="00093091" w:rsidRPr="00A12106">
        <w:rPr>
          <w:rFonts w:ascii="David" w:eastAsia="Calibri" w:hAnsi="David"/>
          <w:noProof w:val="0"/>
          <w:rtl/>
        </w:rPr>
        <w:t xml:space="preserve"> התיקון </w:t>
      </w:r>
      <w:r w:rsidR="00093091">
        <w:rPr>
          <w:rFonts w:ascii="David" w:eastAsia="Calibri" w:hAnsi="David" w:hint="cs"/>
          <w:noProof w:val="0"/>
          <w:rtl/>
        </w:rPr>
        <w:t xml:space="preserve">לחוק </w:t>
      </w:r>
      <w:r w:rsidRPr="00A12106">
        <w:rPr>
          <w:rFonts w:ascii="David" w:eastAsia="Calibri" w:hAnsi="David" w:hint="cs"/>
          <w:noProof w:val="0"/>
          <w:rtl/>
        </w:rPr>
        <w:t>ו</w:t>
      </w:r>
      <w:r w:rsidRPr="00A12106">
        <w:rPr>
          <w:rFonts w:ascii="David" w:eastAsia="Calibri" w:hAnsi="David"/>
          <w:noProof w:val="0"/>
          <w:rtl/>
        </w:rPr>
        <w:t xml:space="preserve">לקבוע הוראה </w:t>
      </w:r>
      <w:r w:rsidRPr="00A12106">
        <w:rPr>
          <w:rFonts w:ascii="David" w:eastAsia="Calibri" w:hAnsi="David" w:hint="cs"/>
          <w:b/>
          <w:bCs/>
          <w:noProof w:val="0"/>
          <w:rtl/>
        </w:rPr>
        <w:t>ברורה ו</w:t>
      </w:r>
      <w:r w:rsidRPr="00A12106">
        <w:rPr>
          <w:rFonts w:ascii="David" w:eastAsia="Calibri" w:hAnsi="David"/>
          <w:b/>
          <w:bCs/>
          <w:noProof w:val="0"/>
          <w:rtl/>
        </w:rPr>
        <w:t>מפורשת</w:t>
      </w:r>
      <w:r w:rsidRPr="00A12106">
        <w:rPr>
          <w:rFonts w:ascii="David" w:eastAsia="Calibri" w:hAnsi="David"/>
          <w:noProof w:val="0"/>
          <w:rtl/>
        </w:rPr>
        <w:t xml:space="preserve"> בצוואה </w:t>
      </w:r>
      <w:r w:rsidRPr="00A12106">
        <w:rPr>
          <w:rFonts w:ascii="David" w:eastAsia="Calibri" w:hAnsi="David" w:hint="cs"/>
          <w:noProof w:val="0"/>
          <w:rtl/>
        </w:rPr>
        <w:t xml:space="preserve">האם באפשרות הצדדים לשנות את צוואתם או שבכוונתם למנוע האחד מרעהו את האפשרות </w:t>
      </w:r>
      <w:r w:rsidRPr="00A12106">
        <w:rPr>
          <w:rFonts w:ascii="David" w:eastAsia="Calibri" w:hAnsi="David"/>
          <w:noProof w:val="0"/>
          <w:rtl/>
        </w:rPr>
        <w:t>לשנות את צוואתם</w:t>
      </w:r>
      <w:r w:rsidRPr="00A12106">
        <w:rPr>
          <w:rFonts w:ascii="David" w:eastAsia="Calibri" w:hAnsi="David" w:hint="cs"/>
          <w:noProof w:val="0"/>
          <w:rtl/>
        </w:rPr>
        <w:t xml:space="preserve">; סבורתני כי </w:t>
      </w:r>
      <w:r w:rsidRPr="00A12106">
        <w:rPr>
          <w:rFonts w:ascii="David" w:eastAsia="Calibri" w:hAnsi="David"/>
          <w:noProof w:val="0"/>
          <w:rtl/>
        </w:rPr>
        <w:t xml:space="preserve">ניתן </w:t>
      </w:r>
      <w:r w:rsidRPr="00A12106">
        <w:rPr>
          <w:rFonts w:ascii="David" w:eastAsia="Calibri" w:hAnsi="David" w:hint="cs"/>
          <w:noProof w:val="0"/>
          <w:rtl/>
        </w:rPr>
        <w:t xml:space="preserve"> ללמוד מכך לעניין </w:t>
      </w:r>
      <w:r w:rsidRPr="00A12106">
        <w:rPr>
          <w:rFonts w:ascii="David" w:eastAsia="Calibri" w:hAnsi="David"/>
          <w:noProof w:val="0"/>
          <w:rtl/>
        </w:rPr>
        <w:t>פרשנות הוראת סעיף 11 במקרה דנן, כפי שיובהר להלן.</w:t>
      </w:r>
    </w:p>
    <w:p w:rsidR="000A689A" w:rsidRPr="00A12106" w:rsidRDefault="000A689A" w:rsidP="000A689A">
      <w:pPr>
        <w:pStyle w:val="ae"/>
        <w:rPr>
          <w:rFonts w:ascii="David" w:eastAsia="Calibri" w:hAnsi="David"/>
          <w:noProof w:val="0"/>
          <w:rtl/>
        </w:rPr>
      </w:pPr>
    </w:p>
    <w:p w:rsidR="000A689A" w:rsidRPr="00A12106" w:rsidRDefault="000A689A" w:rsidP="000A689A">
      <w:pPr>
        <w:numPr>
          <w:ilvl w:val="0"/>
          <w:numId w:val="4"/>
        </w:numPr>
        <w:spacing w:after="160" w:line="360" w:lineRule="auto"/>
        <w:ind w:left="368"/>
        <w:contextualSpacing/>
        <w:jc w:val="both"/>
        <w:rPr>
          <w:rFonts w:ascii="David" w:eastAsia="Calibri" w:hAnsi="David"/>
          <w:noProof w:val="0"/>
        </w:rPr>
      </w:pPr>
      <w:r w:rsidRPr="00A12106">
        <w:rPr>
          <w:rFonts w:ascii="David" w:eastAsia="Calibri" w:hAnsi="David" w:hint="cs"/>
          <w:noProof w:val="0"/>
          <w:rtl/>
        </w:rPr>
        <w:t xml:space="preserve">לאור האמור, </w:t>
      </w:r>
      <w:r w:rsidRPr="00A12106">
        <w:rPr>
          <w:rFonts w:ascii="David" w:eastAsia="Calibri" w:hAnsi="David"/>
          <w:noProof w:val="0"/>
          <w:rtl/>
        </w:rPr>
        <w:t>הרי ש</w:t>
      </w:r>
      <w:r w:rsidRPr="00A12106">
        <w:rPr>
          <w:rFonts w:ascii="David" w:eastAsia="Calibri" w:hAnsi="David"/>
          <w:b/>
          <w:bCs/>
          <w:noProof w:val="0"/>
          <w:rtl/>
        </w:rPr>
        <w:t xml:space="preserve">אין תחולה להוראות התיקון (סעיף </w:t>
      </w:r>
      <w:r w:rsidR="006B28B5">
        <w:rPr>
          <w:rFonts w:ascii="David" w:eastAsia="Calibri" w:hAnsi="David"/>
          <w:b/>
          <w:bCs/>
          <w:noProof w:val="0"/>
          <w:rtl/>
        </w:rPr>
        <w:t>8א</w:t>
      </w:r>
      <w:r w:rsidRPr="00A12106">
        <w:rPr>
          <w:rFonts w:ascii="David" w:eastAsia="Calibri" w:hAnsi="David"/>
          <w:b/>
          <w:bCs/>
          <w:noProof w:val="0"/>
          <w:rtl/>
        </w:rPr>
        <w:t xml:space="preserve"> לחוק הירושה)</w:t>
      </w:r>
      <w:r w:rsidRPr="00A12106">
        <w:rPr>
          <w:rFonts w:ascii="David" w:eastAsia="Calibri" w:hAnsi="David"/>
          <w:noProof w:val="0"/>
          <w:rtl/>
        </w:rPr>
        <w:t xml:space="preserve"> על הצוואה שלפנינו</w:t>
      </w:r>
      <w:r w:rsidRPr="00A12106">
        <w:rPr>
          <w:rFonts w:ascii="David" w:eastAsia="Calibri" w:hAnsi="David" w:hint="cs"/>
          <w:noProof w:val="0"/>
          <w:rtl/>
        </w:rPr>
        <w:t>.</w:t>
      </w:r>
    </w:p>
    <w:p w:rsidR="000A689A" w:rsidRDefault="000A689A" w:rsidP="00E34603">
      <w:pPr>
        <w:spacing w:line="360" w:lineRule="auto"/>
        <w:ind w:left="368"/>
        <w:contextualSpacing/>
        <w:jc w:val="both"/>
        <w:rPr>
          <w:rFonts w:ascii="David" w:eastAsia="Calibri" w:hAnsi="David"/>
          <w:b/>
          <w:bCs/>
          <w:noProof w:val="0"/>
          <w:rtl/>
        </w:rPr>
      </w:pPr>
    </w:p>
    <w:p w:rsidR="00BE24BC" w:rsidRDefault="00BE24BC" w:rsidP="00BE24BC">
      <w:pPr>
        <w:spacing w:after="160" w:line="360" w:lineRule="auto"/>
        <w:contextualSpacing/>
        <w:jc w:val="both"/>
        <w:rPr>
          <w:rFonts w:ascii="David" w:eastAsia="Calibri" w:hAnsi="David"/>
          <w:b/>
          <w:bCs/>
          <w:noProof w:val="0"/>
          <w:rtl/>
        </w:rPr>
      </w:pPr>
      <w:r w:rsidRPr="00A94BC1">
        <w:rPr>
          <w:rFonts w:ascii="David" w:eastAsia="Calibri" w:hAnsi="David" w:hint="cs"/>
          <w:b/>
          <w:bCs/>
          <w:noProof w:val="0"/>
          <w:rtl/>
        </w:rPr>
        <w:t>מצבים בהם יוגבל כוחו של המצווה לשנות צוואה הדדית שנערכה קודם לתיקון</w:t>
      </w:r>
    </w:p>
    <w:p w:rsidR="00BE24BC" w:rsidRPr="00E34603" w:rsidRDefault="00BE24BC" w:rsidP="00BE24BC">
      <w:pPr>
        <w:spacing w:after="160" w:line="256" w:lineRule="auto"/>
        <w:ind w:left="720"/>
        <w:contextualSpacing/>
        <w:rPr>
          <w:rFonts w:ascii="David" w:eastAsia="Calibri" w:hAnsi="David"/>
          <w:b/>
          <w:bCs/>
          <w:noProof w:val="0"/>
        </w:rPr>
      </w:pPr>
    </w:p>
    <w:p w:rsidR="00BE24BC" w:rsidRPr="00E34603" w:rsidRDefault="00BE24BC" w:rsidP="00BE24BC">
      <w:pPr>
        <w:numPr>
          <w:ilvl w:val="0"/>
          <w:numId w:val="4"/>
        </w:numPr>
        <w:spacing w:after="160" w:line="360" w:lineRule="auto"/>
        <w:ind w:left="368"/>
        <w:contextualSpacing/>
        <w:jc w:val="both"/>
        <w:rPr>
          <w:rFonts w:ascii="David" w:eastAsia="Calibri" w:hAnsi="David"/>
          <w:noProof w:val="0"/>
          <w:rtl/>
        </w:rPr>
      </w:pPr>
      <w:r w:rsidRPr="00BE24BC">
        <w:rPr>
          <w:rFonts w:ascii="David" w:eastAsia="Calibri" w:hAnsi="David"/>
          <w:noProof w:val="0"/>
          <w:rtl/>
        </w:rPr>
        <w:t>בהלכת</w:t>
      </w:r>
      <w:r w:rsidRPr="00E34603">
        <w:rPr>
          <w:rFonts w:ascii="David" w:eastAsia="Calibri" w:hAnsi="David"/>
          <w:noProof w:val="0"/>
          <w:rtl/>
        </w:rPr>
        <w:t xml:space="preserve"> </w:t>
      </w:r>
      <w:r w:rsidRPr="00E84971">
        <w:rPr>
          <w:rFonts w:ascii="David" w:eastAsia="Calibri" w:hAnsi="David"/>
          <w:noProof w:val="0"/>
          <w:rtl/>
        </w:rPr>
        <w:t>זמיר</w:t>
      </w:r>
      <w:r w:rsidRPr="00E34603">
        <w:rPr>
          <w:rFonts w:ascii="David" w:eastAsia="Calibri" w:hAnsi="David"/>
          <w:noProof w:val="0"/>
          <w:rtl/>
        </w:rPr>
        <w:t xml:space="preserve"> </w:t>
      </w:r>
      <w:r>
        <w:rPr>
          <w:rFonts w:ascii="David" w:eastAsia="Calibri" w:hAnsi="David" w:hint="cs"/>
          <w:noProof w:val="0"/>
          <w:rtl/>
        </w:rPr>
        <w:t>התייחסה</w:t>
      </w:r>
      <w:r w:rsidRPr="00E34603">
        <w:rPr>
          <w:rFonts w:ascii="David" w:eastAsia="Calibri" w:hAnsi="David"/>
          <w:noProof w:val="0"/>
          <w:rtl/>
        </w:rPr>
        <w:t xml:space="preserve"> כב' השופטת נאור </w:t>
      </w:r>
      <w:r>
        <w:rPr>
          <w:rFonts w:ascii="David" w:eastAsia="Calibri" w:hAnsi="David" w:hint="cs"/>
          <w:noProof w:val="0"/>
          <w:rtl/>
        </w:rPr>
        <w:t>ל</w:t>
      </w:r>
      <w:r w:rsidRPr="00E34603">
        <w:rPr>
          <w:rFonts w:ascii="David" w:eastAsia="Calibri" w:hAnsi="David"/>
          <w:noProof w:val="0"/>
          <w:rtl/>
        </w:rPr>
        <w:t>מספר אפשרויות ביחס לצוואה שנערכה לפני התיקון לחוק</w:t>
      </w:r>
      <w:r>
        <w:rPr>
          <w:rFonts w:ascii="David" w:eastAsia="Calibri" w:hAnsi="David" w:hint="cs"/>
          <w:noProof w:val="0"/>
          <w:rtl/>
        </w:rPr>
        <w:t>,</w:t>
      </w:r>
      <w:r w:rsidRPr="00CB20DD">
        <w:rPr>
          <w:rFonts w:ascii="David" w:eastAsia="Calibri" w:hAnsi="David"/>
          <w:noProof w:val="0"/>
          <w:rtl/>
        </w:rPr>
        <w:t xml:space="preserve"> </w:t>
      </w:r>
      <w:r w:rsidRPr="00E34603">
        <w:rPr>
          <w:rFonts w:ascii="David" w:eastAsia="Calibri" w:hAnsi="David"/>
          <w:noProof w:val="0"/>
          <w:rtl/>
        </w:rPr>
        <w:t>מעין זו</w:t>
      </w:r>
      <w:r>
        <w:rPr>
          <w:rFonts w:ascii="David" w:eastAsia="Calibri" w:hAnsi="David" w:hint="cs"/>
          <w:noProof w:val="0"/>
          <w:rtl/>
        </w:rPr>
        <w:t xml:space="preserve"> שלפנינו</w:t>
      </w:r>
      <w:r w:rsidRPr="00E34603">
        <w:rPr>
          <w:rFonts w:ascii="David" w:eastAsia="Calibri" w:hAnsi="David"/>
          <w:noProof w:val="0"/>
          <w:rtl/>
        </w:rPr>
        <w:t xml:space="preserve">: </w:t>
      </w:r>
    </w:p>
    <w:p w:rsidR="00BE24BC" w:rsidRDefault="00BE24BC" w:rsidP="00971C84">
      <w:pPr>
        <w:spacing w:after="160" w:line="360" w:lineRule="auto"/>
        <w:ind w:left="368"/>
        <w:contextualSpacing/>
        <w:jc w:val="both"/>
        <w:rPr>
          <w:rFonts w:ascii="David" w:eastAsia="Calibri" w:hAnsi="David"/>
          <w:noProof w:val="0"/>
          <w:rtl/>
        </w:rPr>
      </w:pPr>
      <w:r w:rsidRPr="00971C84">
        <w:rPr>
          <w:rFonts w:ascii="David" w:eastAsia="Calibri" w:hAnsi="David"/>
          <w:b/>
          <w:bCs/>
          <w:noProof w:val="0"/>
          <w:rtl/>
        </w:rPr>
        <w:t xml:space="preserve">"ניתן להעלות על הדעת - והכל לגבי צוואות שנערכו </w:t>
      </w:r>
      <w:r w:rsidRPr="00987BE1">
        <w:rPr>
          <w:rFonts w:ascii="David" w:eastAsia="Calibri" w:hAnsi="David"/>
          <w:b/>
          <w:bCs/>
          <w:noProof w:val="0"/>
          <w:u w:val="single"/>
          <w:rtl/>
        </w:rPr>
        <w:t>לפני</w:t>
      </w:r>
      <w:r w:rsidRPr="00971C84">
        <w:rPr>
          <w:rFonts w:ascii="David" w:eastAsia="Calibri" w:hAnsi="David"/>
          <w:b/>
          <w:bCs/>
          <w:noProof w:val="0"/>
          <w:rtl/>
        </w:rPr>
        <w:t xml:space="preserve"> התיקון בחוק - </w:t>
      </w:r>
      <w:r w:rsidRPr="00971C84">
        <w:rPr>
          <w:rFonts w:ascii="David" w:eastAsia="Calibri" w:hAnsi="David"/>
          <w:b/>
          <w:bCs/>
          <w:noProof w:val="0"/>
          <w:u w:val="single"/>
          <w:rtl/>
        </w:rPr>
        <w:t>שלוש סיטואציות טיפוסיות</w:t>
      </w:r>
      <w:r w:rsidRPr="00971C84">
        <w:rPr>
          <w:rFonts w:ascii="David" w:eastAsia="Calibri" w:hAnsi="David"/>
          <w:b/>
          <w:bCs/>
          <w:noProof w:val="0"/>
          <w:rtl/>
        </w:rPr>
        <w:t xml:space="preserve"> (ולא בהכרח בלעדיות) של צוואות הדדיות משותפות: </w:t>
      </w:r>
      <w:r w:rsidRPr="00971C84">
        <w:rPr>
          <w:rFonts w:ascii="David" w:eastAsia="Calibri" w:hAnsi="David"/>
          <w:b/>
          <w:bCs/>
          <w:noProof w:val="0"/>
          <w:u w:val="single"/>
          <w:rtl/>
        </w:rPr>
        <w:t>האחת</w:t>
      </w:r>
      <w:r w:rsidRPr="00971C84">
        <w:rPr>
          <w:rFonts w:ascii="David" w:eastAsia="Calibri" w:hAnsi="David"/>
          <w:b/>
          <w:bCs/>
          <w:noProof w:val="0"/>
          <w:rtl/>
        </w:rPr>
        <w:t xml:space="preserve"> הכוללת הוראה דומה לזו שנכללה בפרשת מלמד, ולפיה המורישים משאירים לעצמם זכות לשנות את הצוואה כרצונם לאחר פטירת אחד מהם; </w:t>
      </w:r>
      <w:r w:rsidRPr="00971C84">
        <w:rPr>
          <w:rFonts w:ascii="David" w:eastAsia="Calibri" w:hAnsi="David"/>
          <w:b/>
          <w:bCs/>
          <w:noProof w:val="0"/>
          <w:u w:val="single"/>
          <w:rtl/>
        </w:rPr>
        <w:t>השניה</w:t>
      </w:r>
      <w:r w:rsidRPr="00971C84">
        <w:rPr>
          <w:rFonts w:ascii="David" w:eastAsia="Calibri" w:hAnsi="David"/>
          <w:b/>
          <w:bCs/>
          <w:noProof w:val="0"/>
          <w:rtl/>
        </w:rPr>
        <w:t xml:space="preserve"> - כשהצוואות ההדדיות "שותקות" בשאלה האמורה; </w:t>
      </w:r>
      <w:r w:rsidRPr="00971C84">
        <w:rPr>
          <w:rFonts w:ascii="David" w:eastAsia="Calibri" w:hAnsi="David"/>
          <w:b/>
          <w:bCs/>
          <w:noProof w:val="0"/>
          <w:u w:val="single"/>
          <w:rtl/>
        </w:rPr>
        <w:t>השלישית</w:t>
      </w:r>
      <w:r w:rsidRPr="00971C84">
        <w:rPr>
          <w:rFonts w:ascii="David" w:eastAsia="Calibri" w:hAnsi="David"/>
          <w:b/>
          <w:bCs/>
          <w:noProof w:val="0"/>
          <w:rtl/>
        </w:rPr>
        <w:t xml:space="preserve"> - כשהצוואות ההדדיות, אוסרות על שינוי צוואתו של האחד לאחר מותו של האחר. הסיטואציה השלישית אינה מתעוררת בענייננו".</w:t>
      </w:r>
    </w:p>
    <w:p w:rsidR="00E84971" w:rsidRPr="00971C84" w:rsidRDefault="00E84971" w:rsidP="00E84971">
      <w:pPr>
        <w:spacing w:after="160" w:line="360" w:lineRule="auto"/>
        <w:contextualSpacing/>
        <w:jc w:val="both"/>
        <w:rPr>
          <w:rFonts w:ascii="David" w:eastAsia="Calibri" w:hAnsi="David"/>
          <w:noProof w:val="0"/>
          <w:rtl/>
        </w:rPr>
      </w:pPr>
    </w:p>
    <w:p w:rsidR="00BE24BC" w:rsidRPr="00E34603" w:rsidRDefault="00BE24BC" w:rsidP="00BE24BC">
      <w:pPr>
        <w:numPr>
          <w:ilvl w:val="0"/>
          <w:numId w:val="4"/>
        </w:numPr>
        <w:spacing w:after="160" w:line="360" w:lineRule="auto"/>
        <w:ind w:left="368"/>
        <w:contextualSpacing/>
        <w:jc w:val="both"/>
        <w:rPr>
          <w:rFonts w:ascii="David" w:eastAsia="Calibri" w:hAnsi="David"/>
          <w:noProof w:val="0"/>
        </w:rPr>
      </w:pPr>
      <w:r w:rsidRPr="00971C84">
        <w:rPr>
          <w:rFonts w:ascii="David" w:eastAsia="Calibri" w:hAnsi="David"/>
          <w:b/>
          <w:bCs/>
          <w:noProof w:val="0"/>
          <w:rtl/>
        </w:rPr>
        <w:t>בכל הנוגע לסיטואציה הראשונה</w:t>
      </w:r>
      <w:r w:rsidRPr="00E34603">
        <w:rPr>
          <w:rFonts w:ascii="David" w:eastAsia="Calibri" w:hAnsi="David"/>
          <w:noProof w:val="0"/>
          <w:rtl/>
        </w:rPr>
        <w:t xml:space="preserve"> – הרי שזו הוכרעה </w:t>
      </w:r>
      <w:r w:rsidRPr="00BE24BC">
        <w:rPr>
          <w:rFonts w:ascii="David" w:eastAsia="Calibri" w:hAnsi="David"/>
          <w:noProof w:val="0"/>
          <w:rtl/>
        </w:rPr>
        <w:t>בעניין</w:t>
      </w:r>
      <w:r w:rsidRPr="00E34603">
        <w:rPr>
          <w:rFonts w:ascii="David" w:eastAsia="Calibri" w:hAnsi="David"/>
          <w:noProof w:val="0"/>
          <w:rtl/>
        </w:rPr>
        <w:t xml:space="preserve"> </w:t>
      </w:r>
      <w:r w:rsidRPr="00E84971">
        <w:rPr>
          <w:rFonts w:ascii="David" w:eastAsia="Calibri" w:hAnsi="David"/>
          <w:noProof w:val="0"/>
          <w:rtl/>
        </w:rPr>
        <w:t>מלמד</w:t>
      </w:r>
      <w:r w:rsidRPr="00E34603">
        <w:rPr>
          <w:rFonts w:ascii="David" w:eastAsia="Calibri" w:hAnsi="David"/>
          <w:noProof w:val="0"/>
          <w:rtl/>
        </w:rPr>
        <w:t xml:space="preserve">, בו פירש כב' השופט ברק הוראה שנקבעה בצוואה הדדית שנידונה באותה פרשה, ולפיה - "הנני קובעת במפורש כי אני רשאית </w:t>
      </w:r>
      <w:r w:rsidRPr="00BE24BC">
        <w:rPr>
          <w:rFonts w:ascii="David" w:eastAsia="Calibri" w:hAnsi="David"/>
          <w:noProof w:val="0"/>
          <w:rtl/>
        </w:rPr>
        <w:t xml:space="preserve">בכל </w:t>
      </w:r>
      <w:r w:rsidRPr="00BE24BC">
        <w:rPr>
          <w:rFonts w:ascii="David" w:eastAsia="Calibri" w:hAnsi="David"/>
          <w:noProof w:val="0"/>
          <w:rtl/>
        </w:rPr>
        <w:lastRenderedPageBreak/>
        <w:t>עת שארצה</w:t>
      </w:r>
      <w:r w:rsidRPr="00E34603">
        <w:rPr>
          <w:rFonts w:ascii="David" w:eastAsia="Calibri" w:hAnsi="David"/>
          <w:noProof w:val="0"/>
          <w:rtl/>
        </w:rPr>
        <w:t xml:space="preserve">, לבטל ו/או לשנות את צוואתי זו, להוסיף או לגרוע ממנה כרצוני. כל שינוי כזה יהיה מחייב במידה וייעשה בכתב ובנוכחות עדים כנדרש עפ"י דין", כהוראה אשר קובעת במפורש כי </w:t>
      </w:r>
      <w:r w:rsidRPr="00C70226">
        <w:rPr>
          <w:rFonts w:ascii="David" w:eastAsia="Calibri" w:hAnsi="David"/>
          <w:b/>
          <w:bCs/>
          <w:noProof w:val="0"/>
          <w:rtl/>
        </w:rPr>
        <w:t>כל מצווה שומר לעצמו את הכוח לבטל בכל עת את צוואתו או לשנותה</w:t>
      </w:r>
      <w:r w:rsidRPr="00E34603">
        <w:rPr>
          <w:rFonts w:ascii="David" w:eastAsia="Calibri" w:hAnsi="David"/>
          <w:noProof w:val="0"/>
          <w:rtl/>
        </w:rPr>
        <w:t>, גם לאחר פטירתו של מי מהם,  וזאת לנוכח הביטוי</w:t>
      </w:r>
      <w:r w:rsidRPr="00BE24BC">
        <w:rPr>
          <w:rFonts w:ascii="David" w:eastAsia="Calibri" w:hAnsi="David"/>
          <w:noProof w:val="0"/>
          <w:rtl/>
        </w:rPr>
        <w:t xml:space="preserve"> </w:t>
      </w:r>
      <w:r w:rsidRPr="00C70226">
        <w:rPr>
          <w:rFonts w:ascii="David" w:eastAsia="Calibri" w:hAnsi="David"/>
          <w:noProof w:val="0"/>
          <w:rtl/>
        </w:rPr>
        <w:t>"בכל עת",</w:t>
      </w:r>
      <w:r w:rsidRPr="00BE24BC">
        <w:rPr>
          <w:rFonts w:ascii="David" w:eastAsia="Calibri" w:hAnsi="David"/>
          <w:noProof w:val="0"/>
          <w:rtl/>
        </w:rPr>
        <w:t xml:space="preserve"> </w:t>
      </w:r>
      <w:r w:rsidRPr="00E34603">
        <w:rPr>
          <w:rFonts w:ascii="David" w:eastAsia="Calibri" w:hAnsi="David"/>
          <w:noProof w:val="0"/>
          <w:rtl/>
        </w:rPr>
        <w:t>בו נקטו המצווים בצוואה.</w:t>
      </w:r>
    </w:p>
    <w:p w:rsidR="00BE24BC" w:rsidRPr="00E34603" w:rsidRDefault="00BE24BC" w:rsidP="00971C84">
      <w:pPr>
        <w:spacing w:after="160" w:line="360" w:lineRule="auto"/>
        <w:ind w:left="368"/>
        <w:contextualSpacing/>
        <w:jc w:val="both"/>
        <w:rPr>
          <w:rFonts w:ascii="David" w:eastAsia="Calibri" w:hAnsi="David"/>
          <w:noProof w:val="0"/>
        </w:rPr>
      </w:pPr>
    </w:p>
    <w:p w:rsidR="00BE24BC" w:rsidRPr="00E34603" w:rsidRDefault="00BE24BC" w:rsidP="00BE24BC">
      <w:pPr>
        <w:numPr>
          <w:ilvl w:val="0"/>
          <w:numId w:val="4"/>
        </w:numPr>
        <w:spacing w:after="160" w:line="360" w:lineRule="auto"/>
        <w:ind w:left="368"/>
        <w:contextualSpacing/>
        <w:jc w:val="both"/>
        <w:rPr>
          <w:rFonts w:ascii="David" w:eastAsia="Calibri" w:hAnsi="David"/>
          <w:noProof w:val="0"/>
          <w:rtl/>
        </w:rPr>
      </w:pPr>
      <w:r w:rsidRPr="00971C84">
        <w:rPr>
          <w:rFonts w:ascii="David" w:eastAsia="Calibri" w:hAnsi="David"/>
          <w:b/>
          <w:bCs/>
          <w:noProof w:val="0"/>
          <w:rtl/>
        </w:rPr>
        <w:t>בכל הנוגע לסיטואציה השנייה</w:t>
      </w:r>
      <w:r w:rsidRPr="00E34603">
        <w:rPr>
          <w:rFonts w:ascii="David" w:eastAsia="Calibri" w:hAnsi="David"/>
          <w:noProof w:val="0"/>
          <w:rtl/>
        </w:rPr>
        <w:t xml:space="preserve">- בה הצוואה שותקת, נקבע </w:t>
      </w:r>
      <w:r w:rsidRPr="00BE24BC">
        <w:rPr>
          <w:rFonts w:ascii="David" w:eastAsia="Calibri" w:hAnsi="David"/>
          <w:noProof w:val="0"/>
          <w:rtl/>
        </w:rPr>
        <w:t xml:space="preserve">בהלכת </w:t>
      </w:r>
      <w:r w:rsidRPr="00E84971">
        <w:rPr>
          <w:rFonts w:ascii="David" w:eastAsia="Calibri" w:hAnsi="David"/>
          <w:noProof w:val="0"/>
          <w:rtl/>
        </w:rPr>
        <w:t>זמיר</w:t>
      </w:r>
      <w:r w:rsidRPr="00E34603">
        <w:rPr>
          <w:rFonts w:ascii="David" w:eastAsia="Calibri" w:hAnsi="David"/>
          <w:noProof w:val="0"/>
          <w:rtl/>
        </w:rPr>
        <w:t xml:space="preserve"> כי כאשר עסקינן בצוואה הדדית שנערכה לפני התיקון </w:t>
      </w:r>
      <w:r w:rsidRPr="00C70226">
        <w:rPr>
          <w:rFonts w:ascii="David" w:eastAsia="Calibri" w:hAnsi="David"/>
          <w:b/>
          <w:bCs/>
          <w:noProof w:val="0"/>
          <w:rtl/>
        </w:rPr>
        <w:t>אין מקום להטיל על בני הזוג הנטל לקבוע במפורש הוראה אחרת</w:t>
      </w:r>
      <w:r w:rsidRPr="00E34603">
        <w:rPr>
          <w:rFonts w:ascii="David" w:eastAsia="Calibri" w:hAnsi="David"/>
          <w:noProof w:val="0"/>
          <w:rtl/>
        </w:rPr>
        <w:t xml:space="preserve"> שתלמד על כך שהם מבקשים להשתחרר ממגבלות הדין (המורות על חופש הציווי), ומכאן שניתן יהא ללמוד משתיקתם על תחולת הדין החל בעת עריכת הצוואה – המעניק בכורה לעקרון חופש הציווי לפיו, </w:t>
      </w:r>
      <w:r w:rsidRPr="00C70226">
        <w:rPr>
          <w:rFonts w:ascii="David" w:eastAsia="Calibri" w:hAnsi="David"/>
          <w:b/>
          <w:bCs/>
          <w:noProof w:val="0"/>
          <w:rtl/>
        </w:rPr>
        <w:t>אין כל הגבלה על שינוי הצוואה</w:t>
      </w:r>
      <w:r w:rsidRPr="00E34603">
        <w:rPr>
          <w:rFonts w:ascii="David" w:eastAsia="Calibri" w:hAnsi="David"/>
          <w:noProof w:val="0"/>
          <w:rtl/>
        </w:rPr>
        <w:t>.</w:t>
      </w:r>
      <w:r w:rsidRPr="00BE24BC">
        <w:rPr>
          <w:rFonts w:ascii="David" w:eastAsia="Calibri" w:hAnsi="David"/>
          <w:noProof w:val="0"/>
          <w:rtl/>
        </w:rPr>
        <w:t xml:space="preserve"> </w:t>
      </w:r>
    </w:p>
    <w:p w:rsidR="00BE24BC" w:rsidRPr="00E34603" w:rsidRDefault="00BE24BC" w:rsidP="00971C84">
      <w:pPr>
        <w:spacing w:after="160" w:line="360" w:lineRule="auto"/>
        <w:ind w:left="368"/>
        <w:contextualSpacing/>
        <w:jc w:val="both"/>
        <w:rPr>
          <w:rFonts w:ascii="David" w:eastAsia="Calibri" w:hAnsi="David"/>
          <w:noProof w:val="0"/>
        </w:rPr>
      </w:pPr>
    </w:p>
    <w:p w:rsidR="00BE24BC" w:rsidRPr="009210D6" w:rsidRDefault="00BE24BC" w:rsidP="00BE24BC">
      <w:pPr>
        <w:numPr>
          <w:ilvl w:val="0"/>
          <w:numId w:val="4"/>
        </w:numPr>
        <w:spacing w:after="160" w:line="360" w:lineRule="auto"/>
        <w:ind w:left="368"/>
        <w:contextualSpacing/>
        <w:jc w:val="both"/>
        <w:rPr>
          <w:rFonts w:ascii="David" w:eastAsia="Calibri" w:hAnsi="David"/>
          <w:noProof w:val="0"/>
          <w:rtl/>
        </w:rPr>
      </w:pPr>
      <w:r w:rsidRPr="009210D6">
        <w:rPr>
          <w:rFonts w:ascii="David" w:eastAsia="Calibri" w:hAnsi="David"/>
          <w:noProof w:val="0"/>
          <w:rtl/>
        </w:rPr>
        <w:t>כדברי כב' הש' נאור בהלכת זמיר:</w:t>
      </w:r>
      <w:r w:rsidRPr="00BE24BC">
        <w:rPr>
          <w:rFonts w:ascii="David" w:eastAsia="Calibri" w:hAnsi="David"/>
          <w:noProof w:val="0"/>
          <w:rtl/>
        </w:rPr>
        <w:t xml:space="preserve"> "</w:t>
      </w:r>
      <w:r w:rsidRPr="00971C84">
        <w:rPr>
          <w:rFonts w:ascii="David" w:eastAsia="Calibri" w:hAnsi="David"/>
          <w:b/>
          <w:bCs/>
          <w:noProof w:val="0"/>
          <w:rtl/>
        </w:rPr>
        <w:t>הצוואות ההדדיות שבפנינו נערכו עוד בשנת 1990. בעוד שבני זוג אשר ערכו צוואות הדדיות לאחר תיקון החוק ומבקשים לשחרר זה את רעהו ממגבלות התיקון - עליהם הנטל לכתוב "הוראה אחרת"; אין מקום להטיל נטל דומה, ולמפרע, על מי שערכו צוואותיהם לפני התיקון</w:t>
      </w:r>
      <w:r w:rsidRPr="009210D6">
        <w:rPr>
          <w:rFonts w:ascii="David" w:eastAsia="Calibri" w:hAnsi="David"/>
          <w:noProof w:val="0"/>
          <w:rtl/>
        </w:rPr>
        <w:t>"</w:t>
      </w:r>
      <w:r>
        <w:rPr>
          <w:rFonts w:ascii="David" w:eastAsia="Calibri" w:hAnsi="David" w:hint="cs"/>
          <w:noProof w:val="0"/>
          <w:rtl/>
        </w:rPr>
        <w:t>;</w:t>
      </w:r>
      <w:r w:rsidRPr="009210D6">
        <w:rPr>
          <w:rFonts w:ascii="David" w:eastAsia="Calibri" w:hAnsi="David" w:hint="cs"/>
          <w:noProof w:val="0"/>
          <w:rtl/>
        </w:rPr>
        <w:t xml:space="preserve"> וכן ראו </w:t>
      </w:r>
      <w:r w:rsidRPr="00E34603">
        <w:rPr>
          <w:rFonts w:ascii="David" w:eastAsia="Calibri" w:hAnsi="David"/>
          <w:noProof w:val="0"/>
          <w:rtl/>
        </w:rPr>
        <w:t>עמ"ש 36694-10-16 הנ"ל</w:t>
      </w:r>
      <w:r>
        <w:rPr>
          <w:rFonts w:ascii="David" w:eastAsia="Calibri" w:hAnsi="David" w:hint="cs"/>
          <w:noProof w:val="0"/>
          <w:rtl/>
        </w:rPr>
        <w:t>.</w:t>
      </w:r>
    </w:p>
    <w:p w:rsidR="00BE24BC" w:rsidRPr="00BE24BC" w:rsidRDefault="00BE24BC" w:rsidP="00971C84">
      <w:pPr>
        <w:spacing w:after="160" w:line="360" w:lineRule="auto"/>
        <w:ind w:left="368"/>
        <w:contextualSpacing/>
        <w:jc w:val="both"/>
        <w:rPr>
          <w:rFonts w:ascii="David" w:eastAsia="Calibri" w:hAnsi="David"/>
          <w:noProof w:val="0"/>
        </w:rPr>
      </w:pPr>
    </w:p>
    <w:p w:rsidR="00BE24BC" w:rsidRDefault="00BE24BC" w:rsidP="00BE24BC">
      <w:pPr>
        <w:numPr>
          <w:ilvl w:val="0"/>
          <w:numId w:val="4"/>
        </w:numPr>
        <w:spacing w:after="160" w:line="360" w:lineRule="auto"/>
        <w:ind w:left="368"/>
        <w:contextualSpacing/>
        <w:jc w:val="both"/>
        <w:rPr>
          <w:rFonts w:ascii="David" w:eastAsia="Calibri" w:hAnsi="David"/>
          <w:noProof w:val="0"/>
        </w:rPr>
      </w:pPr>
      <w:r w:rsidRPr="00971C84">
        <w:rPr>
          <w:rFonts w:ascii="David" w:eastAsia="Calibri" w:hAnsi="David"/>
          <w:b/>
          <w:bCs/>
          <w:noProof w:val="0"/>
          <w:rtl/>
        </w:rPr>
        <w:t>בנוגע לסיטואציה השלישית</w:t>
      </w:r>
      <w:r w:rsidRPr="00BE24BC">
        <w:rPr>
          <w:rFonts w:ascii="David" w:eastAsia="Calibri" w:hAnsi="David"/>
          <w:noProof w:val="0"/>
          <w:rtl/>
        </w:rPr>
        <w:t xml:space="preserve"> </w:t>
      </w:r>
      <w:r w:rsidRPr="00E34603">
        <w:rPr>
          <w:rFonts w:ascii="David" w:eastAsia="Calibri" w:hAnsi="David"/>
          <w:noProof w:val="0"/>
          <w:rtl/>
        </w:rPr>
        <w:t xml:space="preserve">– ככל שישנה הוראה מפורשת </w:t>
      </w:r>
      <w:r w:rsidRPr="00BE24BC">
        <w:rPr>
          <w:rFonts w:ascii="David" w:eastAsia="Calibri" w:hAnsi="David"/>
          <w:noProof w:val="0"/>
          <w:rtl/>
        </w:rPr>
        <w:t>האוסרת</w:t>
      </w:r>
      <w:r w:rsidRPr="00E34603">
        <w:rPr>
          <w:rFonts w:ascii="David" w:eastAsia="Calibri" w:hAnsi="David"/>
          <w:noProof w:val="0"/>
          <w:rtl/>
        </w:rPr>
        <w:t xml:space="preserve"> על שינוי הצוואה ההדדית –סיטואציה זו אמנם לא נידונה בהלכת זמיר, אולם דומה כי בנסיבות מעין אלה </w:t>
      </w:r>
      <w:r w:rsidRPr="00C70226">
        <w:rPr>
          <w:rFonts w:ascii="David" w:eastAsia="Calibri" w:hAnsi="David"/>
          <w:b/>
          <w:bCs/>
          <w:noProof w:val="0"/>
          <w:rtl/>
        </w:rPr>
        <w:t>יכירו בתוקפה המחייב של הוראה מפורשת מעין זו</w:t>
      </w:r>
      <w:r w:rsidRPr="00E34603">
        <w:rPr>
          <w:rFonts w:ascii="David" w:eastAsia="Calibri" w:hAnsi="David"/>
          <w:noProof w:val="0"/>
          <w:rtl/>
        </w:rPr>
        <w:t xml:space="preserve">, בה למעשה </w:t>
      </w:r>
      <w:r w:rsidRPr="00BE24BC">
        <w:rPr>
          <w:rFonts w:ascii="David" w:eastAsia="Calibri" w:hAnsi="David"/>
          <w:noProof w:val="0"/>
          <w:rtl/>
        </w:rPr>
        <w:t>אינטרס ההסתמכות יגבר על עקרון החופש לצוות</w:t>
      </w:r>
      <w:r w:rsidRPr="00E34603">
        <w:rPr>
          <w:rFonts w:ascii="David" w:eastAsia="Calibri" w:hAnsi="David"/>
          <w:noProof w:val="0"/>
          <w:rtl/>
        </w:rPr>
        <w:t>. ראו: ת"ע (משפחה ירושלים) 41010</w:t>
      </w:r>
      <w:r>
        <w:rPr>
          <w:rFonts w:ascii="David" w:eastAsia="Calibri" w:hAnsi="David" w:hint="cs"/>
          <w:noProof w:val="0"/>
          <w:rtl/>
        </w:rPr>
        <w:t>/</w:t>
      </w:r>
      <w:r w:rsidRPr="00E34603">
        <w:rPr>
          <w:rFonts w:ascii="David" w:eastAsia="Calibri" w:hAnsi="David"/>
          <w:noProof w:val="0"/>
          <w:rtl/>
        </w:rPr>
        <w:t xml:space="preserve">07 </w:t>
      </w:r>
      <w:r w:rsidRPr="00C70226">
        <w:rPr>
          <w:rFonts w:ascii="David" w:eastAsia="Calibri" w:hAnsi="David"/>
          <w:b/>
          <w:bCs/>
          <w:noProof w:val="0"/>
          <w:rtl/>
        </w:rPr>
        <w:t>א</w:t>
      </w:r>
      <w:r w:rsidRPr="00C70226">
        <w:rPr>
          <w:rFonts w:ascii="David" w:eastAsia="Calibri" w:hAnsi="David" w:hint="cs"/>
          <w:b/>
          <w:bCs/>
          <w:noProof w:val="0"/>
          <w:rtl/>
        </w:rPr>
        <w:t>.</w:t>
      </w:r>
      <w:r w:rsidRPr="00C70226">
        <w:rPr>
          <w:rFonts w:ascii="David" w:eastAsia="Calibri" w:hAnsi="David"/>
          <w:b/>
          <w:bCs/>
          <w:noProof w:val="0"/>
          <w:rtl/>
        </w:rPr>
        <w:t>ב נ' ש.צ</w:t>
      </w:r>
      <w:r w:rsidRPr="00E34603">
        <w:rPr>
          <w:rFonts w:ascii="David" w:eastAsia="Calibri" w:hAnsi="David"/>
          <w:noProof w:val="0"/>
          <w:rtl/>
        </w:rPr>
        <w:t xml:space="preserve"> (31.5.2012)‏‏, פסקה 25 והפסיקה המאוזכרת שם.</w:t>
      </w:r>
    </w:p>
    <w:p w:rsidR="00BE24BC" w:rsidRDefault="00BE24BC" w:rsidP="00971C84">
      <w:pPr>
        <w:spacing w:after="160" w:line="360" w:lineRule="auto"/>
        <w:ind w:left="368"/>
        <w:contextualSpacing/>
        <w:jc w:val="both"/>
        <w:rPr>
          <w:rFonts w:ascii="David" w:eastAsia="Calibri" w:hAnsi="David"/>
          <w:noProof w:val="0"/>
          <w:rtl/>
        </w:rPr>
      </w:pPr>
    </w:p>
    <w:p w:rsidR="00BE24BC" w:rsidRPr="00E34603" w:rsidRDefault="00BE24BC" w:rsidP="00B61ECE">
      <w:pPr>
        <w:numPr>
          <w:ilvl w:val="0"/>
          <w:numId w:val="4"/>
        </w:numPr>
        <w:spacing w:after="160" w:line="360" w:lineRule="auto"/>
        <w:ind w:left="368"/>
        <w:contextualSpacing/>
        <w:jc w:val="both"/>
        <w:rPr>
          <w:rFonts w:ascii="David" w:eastAsia="Calibri" w:hAnsi="David"/>
          <w:noProof w:val="0"/>
          <w:rtl/>
        </w:rPr>
      </w:pPr>
      <w:r w:rsidRPr="00E34603">
        <w:rPr>
          <w:rFonts w:ascii="David" w:eastAsia="Calibri" w:hAnsi="David"/>
          <w:noProof w:val="0"/>
          <w:rtl/>
        </w:rPr>
        <w:t>נוסף על שלוש האפשרויות האמורות, ניתן פתח בפסיקה</w:t>
      </w:r>
      <w:r w:rsidR="00C70226">
        <w:rPr>
          <w:rFonts w:ascii="David" w:eastAsia="Calibri" w:hAnsi="David" w:hint="cs"/>
          <w:noProof w:val="0"/>
          <w:rtl/>
        </w:rPr>
        <w:t>, אותו כינתה כב' השופטת וילנר ב</w:t>
      </w:r>
      <w:r w:rsidR="00C70226" w:rsidRPr="00C70226">
        <w:rPr>
          <w:rFonts w:ascii="David" w:eastAsia="Calibri" w:hAnsi="David" w:hint="cs"/>
          <w:b/>
          <w:bCs/>
          <w:noProof w:val="0"/>
          <w:rtl/>
        </w:rPr>
        <w:t>בע"מ 7884/23</w:t>
      </w:r>
      <w:r w:rsidR="00C70226">
        <w:rPr>
          <w:rFonts w:ascii="David" w:eastAsia="Calibri" w:hAnsi="David" w:hint="cs"/>
          <w:noProof w:val="0"/>
          <w:rtl/>
        </w:rPr>
        <w:t xml:space="preserve"> הנ"ל כ"פתח צר", </w:t>
      </w:r>
      <w:r w:rsidRPr="00E34603">
        <w:rPr>
          <w:rFonts w:ascii="David" w:eastAsia="Calibri" w:hAnsi="David"/>
          <w:noProof w:val="0"/>
          <w:rtl/>
        </w:rPr>
        <w:t xml:space="preserve">ללמוד על ההגבלה לשנות צוואות הדדיות לאחר פטירת אחד מבני הזוג </w:t>
      </w:r>
      <w:r w:rsidR="00B61ECE">
        <w:rPr>
          <w:rFonts w:ascii="David" w:eastAsia="Calibri" w:hAnsi="David" w:hint="cs"/>
          <w:noProof w:val="0"/>
          <w:rtl/>
        </w:rPr>
        <w:t>עת ה</w:t>
      </w:r>
      <w:r w:rsidRPr="00E34603">
        <w:rPr>
          <w:rFonts w:ascii="David" w:eastAsia="Calibri" w:hAnsi="David"/>
          <w:noProof w:val="0"/>
          <w:rtl/>
        </w:rPr>
        <w:t xml:space="preserve">צוואה </w:t>
      </w:r>
      <w:r w:rsidR="00B61ECE">
        <w:rPr>
          <w:rFonts w:ascii="David" w:eastAsia="Calibri" w:hAnsi="David" w:hint="cs"/>
          <w:noProof w:val="0"/>
          <w:rtl/>
        </w:rPr>
        <w:t>ה</w:t>
      </w:r>
      <w:r w:rsidRPr="00E34603">
        <w:rPr>
          <w:rFonts w:ascii="David" w:eastAsia="Calibri" w:hAnsi="David"/>
          <w:noProof w:val="0"/>
          <w:rtl/>
        </w:rPr>
        <w:t xml:space="preserve">הדדית נערכה קודם לתיקון 12 לחוק, </w:t>
      </w:r>
      <w:r w:rsidR="00B61ECE">
        <w:rPr>
          <w:rFonts w:ascii="David" w:eastAsia="Calibri" w:hAnsi="David" w:hint="cs"/>
          <w:noProof w:val="0"/>
          <w:rtl/>
        </w:rPr>
        <w:t xml:space="preserve">וזאת </w:t>
      </w:r>
      <w:r w:rsidRPr="00BE24BC">
        <w:rPr>
          <w:rFonts w:ascii="David" w:eastAsia="Calibri" w:hAnsi="David"/>
          <w:noProof w:val="0"/>
          <w:rtl/>
        </w:rPr>
        <w:t xml:space="preserve">על פי </w:t>
      </w:r>
      <w:r w:rsidRPr="00971C84">
        <w:rPr>
          <w:rFonts w:ascii="David" w:eastAsia="Calibri" w:hAnsi="David"/>
          <w:b/>
          <w:bCs/>
          <w:noProof w:val="0"/>
          <w:rtl/>
        </w:rPr>
        <w:t>עקרון תום הלב</w:t>
      </w:r>
      <w:r w:rsidRPr="00E34603">
        <w:rPr>
          <w:rFonts w:ascii="David" w:eastAsia="Calibri" w:hAnsi="David"/>
          <w:noProof w:val="0"/>
          <w:rtl/>
        </w:rPr>
        <w:t xml:space="preserve">, כהצעתו של כב' השופט ברק באמרת האגב בפרשת </w:t>
      </w:r>
      <w:r w:rsidRPr="001A5A3D">
        <w:rPr>
          <w:rFonts w:ascii="David" w:eastAsia="Calibri" w:hAnsi="David"/>
          <w:noProof w:val="0"/>
          <w:rtl/>
        </w:rPr>
        <w:t>מלמד</w:t>
      </w:r>
      <w:r w:rsidRPr="00E34603">
        <w:rPr>
          <w:rFonts w:ascii="David" w:eastAsia="Calibri" w:hAnsi="David"/>
          <w:noProof w:val="0"/>
          <w:rtl/>
        </w:rPr>
        <w:t xml:space="preserve"> ובספרו הנ"ל.</w:t>
      </w:r>
    </w:p>
    <w:p w:rsidR="00BE24BC" w:rsidRPr="00E34603" w:rsidRDefault="00BE24BC" w:rsidP="00971C84">
      <w:pPr>
        <w:spacing w:after="160" w:line="360" w:lineRule="auto"/>
        <w:ind w:left="368"/>
        <w:contextualSpacing/>
        <w:jc w:val="both"/>
        <w:rPr>
          <w:rFonts w:ascii="David" w:eastAsia="Calibri" w:hAnsi="David"/>
          <w:noProof w:val="0"/>
        </w:rPr>
      </w:pPr>
    </w:p>
    <w:p w:rsidR="00BE24BC" w:rsidRPr="00E34603" w:rsidRDefault="00BE24BC" w:rsidP="00C70226">
      <w:pPr>
        <w:numPr>
          <w:ilvl w:val="0"/>
          <w:numId w:val="4"/>
        </w:numPr>
        <w:spacing w:after="160" w:line="360" w:lineRule="auto"/>
        <w:ind w:left="368"/>
        <w:contextualSpacing/>
        <w:jc w:val="both"/>
        <w:rPr>
          <w:rFonts w:ascii="David" w:eastAsia="Calibri" w:hAnsi="David"/>
          <w:noProof w:val="0"/>
          <w:rtl/>
        </w:rPr>
      </w:pPr>
      <w:r w:rsidRPr="00E34603">
        <w:rPr>
          <w:rFonts w:ascii="David" w:eastAsia="Calibri" w:hAnsi="David"/>
          <w:noProof w:val="0"/>
          <w:rtl/>
        </w:rPr>
        <w:t xml:space="preserve">שלושת השופטים בהלכת </w:t>
      </w:r>
      <w:r w:rsidRPr="001A5A3D">
        <w:rPr>
          <w:rFonts w:ascii="David" w:eastAsia="Calibri" w:hAnsi="David"/>
          <w:noProof w:val="0"/>
          <w:rtl/>
        </w:rPr>
        <w:t>זמיר</w:t>
      </w:r>
      <w:r w:rsidRPr="00E34603">
        <w:rPr>
          <w:rFonts w:ascii="David" w:eastAsia="Calibri" w:hAnsi="David"/>
          <w:noProof w:val="0"/>
          <w:rtl/>
        </w:rPr>
        <w:t xml:space="preserve"> התייחסו לכך בפסק דינם – כב' השופטת </w:t>
      </w:r>
      <w:r w:rsidRPr="00971C84">
        <w:rPr>
          <w:rFonts w:ascii="David" w:eastAsia="Calibri" w:hAnsi="David"/>
          <w:b/>
          <w:bCs/>
          <w:noProof w:val="0"/>
          <w:rtl/>
        </w:rPr>
        <w:t>נאור</w:t>
      </w:r>
      <w:r w:rsidRPr="00E34603">
        <w:rPr>
          <w:rFonts w:ascii="David" w:eastAsia="Calibri" w:hAnsi="David"/>
          <w:noProof w:val="0"/>
          <w:rtl/>
        </w:rPr>
        <w:t xml:space="preserve"> ציינה בהקשר זה כי: ".... </w:t>
      </w:r>
      <w:r w:rsidRPr="00C303BB">
        <w:rPr>
          <w:rFonts w:ascii="David" w:eastAsia="Calibri" w:hAnsi="David"/>
          <w:b/>
          <w:bCs/>
          <w:noProof w:val="0"/>
          <w:rtl/>
        </w:rPr>
        <w:t>ועוד: אבן פינה בניתוח של השופט ברק בפרשת מלמד ובספרו הוא כי היורש שנותר בחיים פעל שלא בתום לב. יתכן וניתן – ולא אקבע מסמרות בכך – לקבוע כך בסיטואציה השלישית שתוארה, בה למרות הוראה בצוואה המשותפת האוסרת על שינוי הצוואה, ערך היורש שנותר בחיים צוואה המשנה מן הצוואה המשותפת</w:t>
      </w:r>
      <w:r w:rsidRPr="00BE24BC">
        <w:rPr>
          <w:rFonts w:ascii="David" w:eastAsia="Calibri" w:hAnsi="David"/>
          <w:noProof w:val="0"/>
          <w:rtl/>
        </w:rPr>
        <w:t xml:space="preserve">..." </w:t>
      </w:r>
      <w:r w:rsidRPr="00E34603">
        <w:rPr>
          <w:rFonts w:ascii="David" w:eastAsia="Calibri" w:hAnsi="David"/>
          <w:noProof w:val="0"/>
          <w:rtl/>
        </w:rPr>
        <w:t>(פסקה 16 לפסק דינה)</w:t>
      </w:r>
      <w:r w:rsidR="00C70226" w:rsidRPr="00C70226">
        <w:rPr>
          <w:rtl/>
        </w:rPr>
        <w:t xml:space="preserve"> </w:t>
      </w:r>
      <w:r w:rsidR="00C70226">
        <w:rPr>
          <w:rFonts w:hint="cs"/>
          <w:rtl/>
        </w:rPr>
        <w:t>וכן</w:t>
      </w:r>
      <w:r w:rsidR="00C303BB">
        <w:rPr>
          <w:rFonts w:hint="cs"/>
          <w:rtl/>
        </w:rPr>
        <w:t>:</w:t>
      </w:r>
      <w:r w:rsidR="00C70226">
        <w:rPr>
          <w:rFonts w:hint="cs"/>
          <w:rtl/>
        </w:rPr>
        <w:t xml:space="preserve"> </w:t>
      </w:r>
      <w:r w:rsidR="00C70226" w:rsidRPr="00C70226">
        <w:rPr>
          <w:rFonts w:ascii="David" w:eastAsia="Calibri" w:hAnsi="David"/>
          <w:noProof w:val="0"/>
          <w:rtl/>
        </w:rPr>
        <w:t>"</w:t>
      </w:r>
      <w:r w:rsidR="00C70226" w:rsidRPr="00C303BB">
        <w:rPr>
          <w:rFonts w:ascii="David" w:eastAsia="Calibri" w:hAnsi="David"/>
          <w:b/>
          <w:bCs/>
          <w:noProof w:val="0"/>
          <w:rtl/>
        </w:rPr>
        <w:t>שקלתי בכובד ראש אפשרות זו, ובסופו של יום אציע לחבריי כי לא נהפוך את אמרת האגב שבעניין מלמד להלכה</w:t>
      </w:r>
      <w:r w:rsidR="00C70226" w:rsidRPr="00C70226">
        <w:rPr>
          <w:rFonts w:ascii="David" w:eastAsia="Calibri" w:hAnsi="David"/>
          <w:noProof w:val="0"/>
          <w:rtl/>
        </w:rPr>
        <w:t>" (פס</w:t>
      </w:r>
      <w:r w:rsidR="00C70226">
        <w:rPr>
          <w:rFonts w:ascii="David" w:eastAsia="Calibri" w:hAnsi="David" w:hint="cs"/>
          <w:noProof w:val="0"/>
          <w:rtl/>
        </w:rPr>
        <w:t>קה</w:t>
      </w:r>
      <w:r w:rsidR="00C70226" w:rsidRPr="00C70226">
        <w:rPr>
          <w:rFonts w:ascii="David" w:eastAsia="Calibri" w:hAnsi="David"/>
          <w:noProof w:val="0"/>
          <w:rtl/>
        </w:rPr>
        <w:t xml:space="preserve"> 15 </w:t>
      </w:r>
      <w:r w:rsidR="00C70226">
        <w:rPr>
          <w:rFonts w:ascii="David" w:eastAsia="Calibri" w:hAnsi="David" w:hint="cs"/>
          <w:noProof w:val="0"/>
          <w:rtl/>
        </w:rPr>
        <w:t>שם</w:t>
      </w:r>
      <w:r w:rsidR="00C70226" w:rsidRPr="00C70226">
        <w:rPr>
          <w:rFonts w:ascii="David" w:eastAsia="Calibri" w:hAnsi="David"/>
          <w:noProof w:val="0"/>
          <w:rtl/>
        </w:rPr>
        <w:t>)</w:t>
      </w:r>
      <w:r w:rsidRPr="00E34603">
        <w:rPr>
          <w:rFonts w:ascii="David" w:eastAsia="Calibri" w:hAnsi="David"/>
          <w:noProof w:val="0"/>
          <w:rtl/>
        </w:rPr>
        <w:t xml:space="preserve">; כב' השופטת </w:t>
      </w:r>
      <w:r w:rsidRPr="00971C84">
        <w:rPr>
          <w:rFonts w:ascii="David" w:eastAsia="Calibri" w:hAnsi="David"/>
          <w:b/>
          <w:bCs/>
          <w:noProof w:val="0"/>
          <w:rtl/>
        </w:rPr>
        <w:t>ארבל</w:t>
      </w:r>
      <w:r w:rsidR="00C70226">
        <w:rPr>
          <w:rFonts w:ascii="David" w:eastAsia="Calibri" w:hAnsi="David" w:hint="cs"/>
          <w:noProof w:val="0"/>
          <w:rtl/>
        </w:rPr>
        <w:t xml:space="preserve"> </w:t>
      </w:r>
      <w:r w:rsidRPr="00E34603">
        <w:rPr>
          <w:rFonts w:ascii="David" w:eastAsia="Calibri" w:hAnsi="David"/>
          <w:noProof w:val="0"/>
          <w:rtl/>
        </w:rPr>
        <w:t>ציינה כי "</w:t>
      </w:r>
      <w:r w:rsidRPr="00C303BB">
        <w:rPr>
          <w:rFonts w:ascii="David" w:eastAsia="Calibri" w:hAnsi="David"/>
          <w:b/>
          <w:bCs/>
          <w:noProof w:val="0"/>
          <w:rtl/>
        </w:rPr>
        <w:t xml:space="preserve">אני סבורה כי ניתן לעשות שימוש בעיקרון זה במקרים הראויים לכך גם לצורך הגבלת כוחו של מצווה בצוואה הדדית לחזור בו מצוואתו....איני </w:t>
      </w:r>
      <w:r w:rsidRPr="00C303BB">
        <w:rPr>
          <w:rFonts w:ascii="David" w:eastAsia="Calibri" w:hAnsi="David"/>
          <w:b/>
          <w:bCs/>
          <w:noProof w:val="0"/>
          <w:rtl/>
        </w:rPr>
        <w:lastRenderedPageBreak/>
        <w:t>נכנסת לעובי הקורה בעניין זה, ראשית משום שאיני נצרכת לשימוש בעיקרון זה בעניין דנן....ושנית מאחר ואני סבורה כי השימוש בעיקרון תום הלב יתפתח ממקרה למקרה בהתאם לנסיבות על עניין</w:t>
      </w:r>
      <w:r w:rsidRPr="00E34603">
        <w:rPr>
          <w:rFonts w:ascii="David" w:eastAsia="Calibri" w:hAnsi="David"/>
          <w:noProof w:val="0"/>
          <w:rtl/>
        </w:rPr>
        <w:t xml:space="preserve">" (פסקה 20 לפסק דינה); וכב' הש' </w:t>
      </w:r>
      <w:r w:rsidRPr="00971C84">
        <w:rPr>
          <w:rFonts w:ascii="David" w:eastAsia="Calibri" w:hAnsi="David"/>
          <w:b/>
          <w:bCs/>
          <w:noProof w:val="0"/>
          <w:rtl/>
        </w:rPr>
        <w:t>ג'ובראן</w:t>
      </w:r>
      <w:r w:rsidRPr="00E34603">
        <w:rPr>
          <w:rFonts w:ascii="David" w:eastAsia="Calibri" w:hAnsi="David"/>
          <w:noProof w:val="0"/>
          <w:rtl/>
        </w:rPr>
        <w:t>, הבהיר אף הוא כי "</w:t>
      </w:r>
      <w:r w:rsidRPr="00C303BB">
        <w:rPr>
          <w:rFonts w:ascii="David" w:eastAsia="Calibri" w:hAnsi="David"/>
          <w:b/>
          <w:bCs/>
          <w:noProof w:val="0"/>
          <w:rtl/>
        </w:rPr>
        <w:t>ייתכן ובעתיד יבוא לפתחו של בית משפט זה מקרה מתאים אשר יצדיק החלתו של עקרון תום הלב. מכל מקום, בעניינינו, אינני נדרש לקבוע מסמרות בדבר</w:t>
      </w:r>
      <w:r w:rsidRPr="00E34603">
        <w:rPr>
          <w:rFonts w:ascii="David" w:eastAsia="Calibri" w:hAnsi="David"/>
          <w:noProof w:val="0"/>
          <w:rtl/>
        </w:rPr>
        <w:t xml:space="preserve">" (פסקה 6 לפסק דינו). </w:t>
      </w:r>
    </w:p>
    <w:p w:rsidR="00BE24BC" w:rsidRPr="00E34603" w:rsidRDefault="00BE24BC" w:rsidP="00971C84">
      <w:pPr>
        <w:spacing w:after="160" w:line="360" w:lineRule="auto"/>
        <w:ind w:left="368"/>
        <w:contextualSpacing/>
        <w:jc w:val="both"/>
        <w:rPr>
          <w:rFonts w:ascii="David" w:eastAsia="Calibri" w:hAnsi="David"/>
          <w:noProof w:val="0"/>
        </w:rPr>
      </w:pPr>
    </w:p>
    <w:p w:rsidR="00645879" w:rsidRPr="00645879" w:rsidRDefault="00645879" w:rsidP="00645879">
      <w:pPr>
        <w:spacing w:after="160" w:line="360" w:lineRule="auto"/>
        <w:ind w:left="368"/>
        <w:contextualSpacing/>
        <w:jc w:val="both"/>
        <w:rPr>
          <w:rFonts w:ascii="David" w:eastAsia="Calibri" w:hAnsi="David"/>
          <w:b/>
          <w:bCs/>
          <w:noProof w:val="0"/>
        </w:rPr>
      </w:pPr>
      <w:r w:rsidRPr="00645879">
        <w:rPr>
          <w:rFonts w:ascii="David" w:eastAsia="Calibri" w:hAnsi="David" w:hint="cs"/>
          <w:b/>
          <w:bCs/>
          <w:noProof w:val="0"/>
          <w:rtl/>
        </w:rPr>
        <w:t>פרשנות צוואה</w:t>
      </w:r>
    </w:p>
    <w:p w:rsidR="00645879" w:rsidRDefault="00645879" w:rsidP="00645879">
      <w:pPr>
        <w:pStyle w:val="ae"/>
        <w:rPr>
          <w:rFonts w:ascii="David" w:eastAsia="Calibri" w:hAnsi="David"/>
          <w:noProof w:val="0"/>
          <w:rtl/>
        </w:rPr>
      </w:pPr>
    </w:p>
    <w:p w:rsidR="00645879" w:rsidRDefault="00645879" w:rsidP="00645879">
      <w:pPr>
        <w:numPr>
          <w:ilvl w:val="0"/>
          <w:numId w:val="4"/>
        </w:numPr>
        <w:spacing w:after="160" w:line="360" w:lineRule="auto"/>
        <w:ind w:left="368"/>
        <w:contextualSpacing/>
        <w:jc w:val="both"/>
        <w:rPr>
          <w:rFonts w:ascii="David" w:eastAsia="Calibri" w:hAnsi="David"/>
          <w:noProof w:val="0"/>
        </w:rPr>
      </w:pPr>
      <w:r w:rsidRPr="00645879">
        <w:rPr>
          <w:rFonts w:ascii="David" w:eastAsia="Calibri" w:hAnsi="David"/>
          <w:noProof w:val="0"/>
          <w:rtl/>
        </w:rPr>
        <w:t>הדין לעניין פרשנות צוואה נקבע בסעיף 54 (א) לחוק הירושה, לפיו: "</w:t>
      </w:r>
      <w:r w:rsidRPr="00645879">
        <w:rPr>
          <w:rFonts w:ascii="David" w:eastAsia="Calibri" w:hAnsi="David"/>
          <w:b/>
          <w:bCs/>
          <w:noProof w:val="0"/>
          <w:rtl/>
        </w:rPr>
        <w:t>מפרשים צוואה לפי אומד דעתו של המצווה כפי שהיא משתמעת מתוך הצוואה, ובמידה שאינה משתמעת מתוכה - כפי שהיא משתמעת מתוך הנסיבות</w:t>
      </w:r>
      <w:r w:rsidRPr="00645879">
        <w:rPr>
          <w:rFonts w:ascii="David" w:eastAsia="Calibri" w:hAnsi="David"/>
          <w:noProof w:val="0"/>
          <w:rtl/>
        </w:rPr>
        <w:t>.".</w:t>
      </w:r>
    </w:p>
    <w:p w:rsidR="00645879" w:rsidRDefault="00645879" w:rsidP="00645879">
      <w:pPr>
        <w:spacing w:after="160" w:line="360" w:lineRule="auto"/>
        <w:ind w:left="368"/>
        <w:contextualSpacing/>
        <w:jc w:val="both"/>
        <w:rPr>
          <w:rFonts w:ascii="David" w:eastAsia="Calibri" w:hAnsi="David"/>
          <w:noProof w:val="0"/>
        </w:rPr>
      </w:pPr>
    </w:p>
    <w:p w:rsidR="00645879" w:rsidRDefault="00645879" w:rsidP="00645879">
      <w:pPr>
        <w:numPr>
          <w:ilvl w:val="0"/>
          <w:numId w:val="4"/>
        </w:numPr>
        <w:spacing w:after="160" w:line="360" w:lineRule="auto"/>
        <w:ind w:left="368"/>
        <w:contextualSpacing/>
        <w:jc w:val="both"/>
        <w:rPr>
          <w:rFonts w:ascii="David" w:eastAsia="Calibri" w:hAnsi="David"/>
          <w:noProof w:val="0"/>
        </w:rPr>
      </w:pPr>
      <w:r w:rsidRPr="00645879">
        <w:rPr>
          <w:rFonts w:ascii="David" w:eastAsia="Calibri" w:hAnsi="David"/>
          <w:noProof w:val="0"/>
          <w:rtl/>
        </w:rPr>
        <w:t xml:space="preserve">סעיף זה מעגן את </w:t>
      </w:r>
      <w:r w:rsidRPr="00645879">
        <w:rPr>
          <w:rFonts w:ascii="David" w:eastAsia="Calibri" w:hAnsi="David"/>
          <w:b/>
          <w:bCs/>
          <w:noProof w:val="0"/>
          <w:rtl/>
        </w:rPr>
        <w:t>תורת שני השלבים</w:t>
      </w:r>
      <w:r w:rsidRPr="00645879">
        <w:rPr>
          <w:rFonts w:ascii="David" w:eastAsia="Calibri" w:hAnsi="David"/>
          <w:noProof w:val="0"/>
          <w:rtl/>
        </w:rPr>
        <w:t xml:space="preserve"> בפרשנות צוואה</w:t>
      </w:r>
      <w:r w:rsidR="00C303BB">
        <w:rPr>
          <w:rFonts w:ascii="David" w:eastAsia="Calibri" w:hAnsi="David" w:hint="cs"/>
          <w:noProof w:val="0"/>
          <w:rtl/>
        </w:rPr>
        <w:t xml:space="preserve"> שהתפתחה בפסיקה</w:t>
      </w:r>
      <w:r w:rsidRPr="00645879">
        <w:rPr>
          <w:rFonts w:ascii="David" w:eastAsia="Calibri" w:hAnsi="David"/>
          <w:noProof w:val="0"/>
          <w:rtl/>
        </w:rPr>
        <w:t xml:space="preserve">. השלב הראשון הוא בחינת אומד דעתו של המצווה כפי שהיא משתמעת </w:t>
      </w:r>
      <w:r w:rsidRPr="00645879">
        <w:rPr>
          <w:rFonts w:ascii="David" w:eastAsia="Calibri" w:hAnsi="David"/>
          <w:b/>
          <w:bCs/>
          <w:noProof w:val="0"/>
          <w:rtl/>
        </w:rPr>
        <w:t>מתוך הצוואה</w:t>
      </w:r>
      <w:r w:rsidRPr="00645879">
        <w:rPr>
          <w:rFonts w:ascii="David" w:eastAsia="Calibri" w:hAnsi="David"/>
          <w:noProof w:val="0"/>
          <w:rtl/>
        </w:rPr>
        <w:t xml:space="preserve">. במידה ואומד דעת המצווה ברורה ומפורשת, מסתיים הליך פרשנות הצוואה. במידה ואומד דעת המצווה אינה משתמעת מהצוואה, אז יש מקום להמשיך את מלאכת הפרשנות באמצעות מעבר לשלב השני, הוא התחקות אחר אומד דעת המצווה כפי שהיא משתמעת </w:t>
      </w:r>
      <w:r w:rsidRPr="00645879">
        <w:rPr>
          <w:rFonts w:ascii="David" w:eastAsia="Calibri" w:hAnsi="David"/>
          <w:b/>
          <w:bCs/>
          <w:noProof w:val="0"/>
          <w:rtl/>
        </w:rPr>
        <w:t>מתוך הנסיבות</w:t>
      </w:r>
      <w:r w:rsidRPr="00645879">
        <w:rPr>
          <w:rFonts w:ascii="David" w:eastAsia="Calibri" w:hAnsi="David"/>
          <w:noProof w:val="0"/>
          <w:rtl/>
        </w:rPr>
        <w:t xml:space="preserve">. </w:t>
      </w:r>
    </w:p>
    <w:p w:rsidR="00645879" w:rsidRDefault="00645879" w:rsidP="00645879">
      <w:pPr>
        <w:pStyle w:val="ae"/>
        <w:rPr>
          <w:rFonts w:ascii="David" w:eastAsia="Calibri" w:hAnsi="David"/>
          <w:noProof w:val="0"/>
          <w:rtl/>
        </w:rPr>
      </w:pPr>
    </w:p>
    <w:p w:rsidR="00645879" w:rsidRDefault="00645879" w:rsidP="00645879">
      <w:pPr>
        <w:numPr>
          <w:ilvl w:val="0"/>
          <w:numId w:val="4"/>
        </w:numPr>
        <w:spacing w:after="160" w:line="360" w:lineRule="auto"/>
        <w:ind w:left="368"/>
        <w:contextualSpacing/>
        <w:jc w:val="both"/>
        <w:rPr>
          <w:rFonts w:ascii="David" w:eastAsia="Calibri" w:hAnsi="David"/>
          <w:noProof w:val="0"/>
        </w:rPr>
      </w:pPr>
      <w:r w:rsidRPr="00645879">
        <w:rPr>
          <w:rFonts w:ascii="David" w:eastAsia="Calibri" w:hAnsi="David"/>
          <w:noProof w:val="0"/>
          <w:rtl/>
        </w:rPr>
        <w:t xml:space="preserve">בהתאם לכך נקבע בעמ"ש (מחוזי חיפה) 7415-03-22 </w:t>
      </w:r>
      <w:r w:rsidRPr="00645879">
        <w:rPr>
          <w:rFonts w:ascii="David" w:eastAsia="Calibri" w:hAnsi="David"/>
          <w:b/>
          <w:bCs/>
          <w:noProof w:val="0"/>
          <w:rtl/>
        </w:rPr>
        <w:t>א' ט' ז"ל ואח' נ' י' ט'</w:t>
      </w:r>
      <w:r w:rsidRPr="00645879">
        <w:rPr>
          <w:rFonts w:ascii="David" w:eastAsia="Calibri" w:hAnsi="David"/>
          <w:noProof w:val="0"/>
          <w:rtl/>
        </w:rPr>
        <w:t xml:space="preserve"> (14.08.2022)‏‏ שכאשר  </w:t>
      </w:r>
      <w:r w:rsidRPr="00645879">
        <w:rPr>
          <w:rFonts w:ascii="David" w:eastAsia="Calibri" w:hAnsi="David"/>
          <w:b/>
          <w:bCs/>
          <w:noProof w:val="0"/>
          <w:rtl/>
        </w:rPr>
        <w:t xml:space="preserve">"...אומד דעתו של המנוח נלמדת מפורשות מתוך לשון הצוואה עצמה, ומשכך </w:t>
      </w:r>
      <w:r w:rsidRPr="00C70226">
        <w:rPr>
          <w:rFonts w:ascii="David" w:eastAsia="Calibri" w:hAnsi="David"/>
          <w:b/>
          <w:bCs/>
          <w:noProof w:val="0"/>
          <w:u w:val="single"/>
          <w:rtl/>
        </w:rPr>
        <w:t>אין אנו נדרשים לעבור אל השלב השני בפרשנות הצוואה</w:t>
      </w:r>
      <w:r w:rsidRPr="00645879">
        <w:rPr>
          <w:rFonts w:ascii="David" w:eastAsia="Calibri" w:hAnsi="David"/>
          <w:b/>
          <w:bCs/>
          <w:noProof w:val="0"/>
          <w:rtl/>
        </w:rPr>
        <w:t xml:space="preserve">, הוא שלב פרשנות אומד דעתו של המצווה באמצעותן של נסיבות חיצוניות..... כידוע, בבסיס דיני הצוואות ניצב העיקרון הנגזר מהרצון לכבד את רצון המת - כי הרצון הקובע של המנוח הוא זה שמצא את ביטויו בלשון הצוואה. </w:t>
      </w:r>
      <w:r w:rsidRPr="00645879">
        <w:rPr>
          <w:rFonts w:ascii="David" w:eastAsia="Calibri" w:hAnsi="David"/>
          <w:b/>
          <w:bCs/>
          <w:noProof w:val="0"/>
          <w:u w:val="single"/>
          <w:rtl/>
        </w:rPr>
        <w:t>גבול פרשנותה של הצוואה הינה בלשונה, ולשון הצוואה ברורה ומוגדרת בהחלט,</w:t>
      </w:r>
      <w:r w:rsidRPr="00645879">
        <w:rPr>
          <w:rFonts w:ascii="David" w:eastAsia="Calibri" w:hAnsi="David"/>
          <w:b/>
          <w:bCs/>
          <w:noProof w:val="0"/>
          <w:rtl/>
        </w:rPr>
        <w:t xml:space="preserve"> וכדברי בית המשפט העליון:   "[...] אמת, מלאכת הפירוש של צוואה אינה מוגבלת אך ללשון הצוואה, אך לשון הצוואה מגבילה את מלאכת הפירוש. </w:t>
      </w:r>
      <w:r w:rsidRPr="00645879">
        <w:rPr>
          <w:rFonts w:ascii="David" w:eastAsia="Calibri" w:hAnsi="David"/>
          <w:b/>
          <w:bCs/>
          <w:noProof w:val="0"/>
          <w:u w:val="single"/>
          <w:rtl/>
        </w:rPr>
        <w:t>ללשון הצוואה ניתן לתת מובן מרחיב או מצמצם, מובן רגיל או חריג, אך יש למצוא תמיד נקודת אחיזה "ארכימדית" בלשון הצוואה המאפשרת את הגשמת אומד-דעתו של המצווה</w:t>
      </w:r>
      <w:r w:rsidRPr="00645879">
        <w:rPr>
          <w:rFonts w:ascii="David" w:eastAsia="Calibri" w:hAnsi="David"/>
          <w:b/>
          <w:bCs/>
          <w:noProof w:val="0"/>
          <w:rtl/>
        </w:rPr>
        <w:t xml:space="preserve"> (השווה ד"נ 40/80 קניג נ' כהן [9], בעמ' 715). ...</w:t>
      </w:r>
      <w:r w:rsidRPr="00645879">
        <w:rPr>
          <w:rFonts w:ascii="David" w:eastAsia="Calibri" w:hAnsi="David"/>
          <w:b/>
          <w:bCs/>
          <w:noProof w:val="0"/>
          <w:u w:val="single"/>
          <w:rtl/>
        </w:rPr>
        <w:t>השופט-הפרשן אינו רשאי להוסיף ללשון הצוואה או לגרוע ממנה. כל כוחה של הפרשנות הוא במתן משמעות לטקסט של הצוואה. גבול הפרשנות הוא גבול הלשון</w:t>
      </w:r>
      <w:r w:rsidRPr="00645879">
        <w:rPr>
          <w:rFonts w:ascii="David" w:eastAsia="Calibri" w:hAnsi="David"/>
          <w:b/>
          <w:bCs/>
          <w:noProof w:val="0"/>
          <w:rtl/>
        </w:rPr>
        <w:t>." (עיינו ע"א 1900/96 איזבל טלמצ'יו נ' האפוטרופוס הכללי [23 עמ'], נג(2) 817 (1999)...</w:t>
      </w:r>
      <w:r w:rsidRPr="00C70226">
        <w:rPr>
          <w:rFonts w:ascii="David" w:eastAsia="Calibri" w:hAnsi="David"/>
          <w:b/>
          <w:bCs/>
          <w:noProof w:val="0"/>
          <w:u w:val="single"/>
          <w:rtl/>
        </w:rPr>
        <w:t>באין כל אמירה, אין כל "וו", עליו ניתן לתלות הוראה מנחילה</w:t>
      </w:r>
      <w:r w:rsidRPr="00645879">
        <w:rPr>
          <w:rFonts w:ascii="David" w:eastAsia="Calibri" w:hAnsi="David"/>
          <w:b/>
          <w:bCs/>
          <w:noProof w:val="0"/>
          <w:rtl/>
        </w:rPr>
        <w:t>.(ע"א 102/80 חיה שרה פרוכטנבוים נ' מגן דוד אדום בישראל, לו(4) 739 (1982)‏‏)"</w:t>
      </w:r>
      <w:r w:rsidRPr="00645879">
        <w:rPr>
          <w:rFonts w:ascii="David" w:eastAsia="Calibri" w:hAnsi="David"/>
          <w:noProof w:val="0"/>
          <w:rtl/>
        </w:rPr>
        <w:t xml:space="preserve"> (ההדגשות שלי – ה.ג.).</w:t>
      </w:r>
    </w:p>
    <w:p w:rsidR="00645879" w:rsidRDefault="00645879" w:rsidP="00645879">
      <w:pPr>
        <w:spacing w:after="160" w:line="360" w:lineRule="auto"/>
        <w:ind w:left="368"/>
        <w:contextualSpacing/>
        <w:jc w:val="both"/>
        <w:rPr>
          <w:rFonts w:ascii="David" w:eastAsia="Calibri" w:hAnsi="David"/>
          <w:noProof w:val="0"/>
        </w:rPr>
      </w:pPr>
    </w:p>
    <w:p w:rsidR="00645879" w:rsidRDefault="00645879" w:rsidP="00C303BB">
      <w:pPr>
        <w:numPr>
          <w:ilvl w:val="0"/>
          <w:numId w:val="4"/>
        </w:numPr>
        <w:spacing w:after="160" w:line="360" w:lineRule="auto"/>
        <w:ind w:left="368"/>
        <w:contextualSpacing/>
        <w:jc w:val="both"/>
        <w:rPr>
          <w:rFonts w:ascii="David" w:eastAsia="Calibri" w:hAnsi="David"/>
          <w:noProof w:val="0"/>
        </w:rPr>
      </w:pPr>
      <w:r w:rsidRPr="00645879">
        <w:rPr>
          <w:rFonts w:ascii="David" w:eastAsia="Calibri" w:hAnsi="David"/>
          <w:noProof w:val="0"/>
          <w:rtl/>
        </w:rPr>
        <w:lastRenderedPageBreak/>
        <w:t xml:space="preserve">אמנם, בפסק דין ע"א 1900/96 </w:t>
      </w:r>
      <w:r w:rsidRPr="00C70226">
        <w:rPr>
          <w:rFonts w:ascii="David" w:eastAsia="Calibri" w:hAnsi="David"/>
          <w:b/>
          <w:bCs/>
          <w:noProof w:val="0"/>
          <w:rtl/>
        </w:rPr>
        <w:t>טלמצ'יו נ' האפוטרופוס הכללי</w:t>
      </w:r>
      <w:r w:rsidRPr="00645879">
        <w:rPr>
          <w:rFonts w:ascii="David" w:eastAsia="Calibri" w:hAnsi="David"/>
          <w:noProof w:val="0"/>
          <w:rtl/>
        </w:rPr>
        <w:t xml:space="preserve"> (12.05.1999) (להלן- "</w:t>
      </w:r>
      <w:r w:rsidRPr="00C70226">
        <w:rPr>
          <w:rFonts w:ascii="David" w:eastAsia="Calibri" w:hAnsi="David"/>
          <w:b/>
          <w:bCs/>
          <w:noProof w:val="0"/>
          <w:rtl/>
        </w:rPr>
        <w:t>עניין טלמצ'יו</w:t>
      </w:r>
      <w:r w:rsidRPr="00645879">
        <w:rPr>
          <w:rFonts w:ascii="David" w:eastAsia="Calibri" w:hAnsi="David"/>
          <w:noProof w:val="0"/>
          <w:rtl/>
        </w:rPr>
        <w:t>"</w:t>
      </w:r>
      <w:r>
        <w:rPr>
          <w:rFonts w:ascii="David" w:eastAsia="Calibri" w:hAnsi="David"/>
          <w:noProof w:val="0"/>
          <w:rtl/>
        </w:rPr>
        <w:t>) הציג כבוד השופט ברק גישה שונה</w:t>
      </w:r>
      <w:r>
        <w:rPr>
          <w:rFonts w:ascii="David" w:eastAsia="Calibri" w:hAnsi="David" w:hint="cs"/>
          <w:noProof w:val="0"/>
          <w:rtl/>
        </w:rPr>
        <w:t>, לפיה</w:t>
      </w:r>
      <w:r w:rsidRPr="00645879">
        <w:rPr>
          <w:rFonts w:ascii="David" w:eastAsia="Calibri" w:hAnsi="David"/>
          <w:noProof w:val="0"/>
          <w:rtl/>
        </w:rPr>
        <w:t xml:space="preserve"> אין להגביל את בית המשפט מראש רק ללשון הצוואה ויש לעבור מגישת הפרשנות הדו-שלבית</w:t>
      </w:r>
      <w:r>
        <w:rPr>
          <w:rFonts w:ascii="David" w:eastAsia="Calibri" w:hAnsi="David" w:hint="cs"/>
          <w:noProof w:val="0"/>
          <w:rtl/>
        </w:rPr>
        <w:t xml:space="preserve">, </w:t>
      </w:r>
      <w:r w:rsidRPr="00645879">
        <w:rPr>
          <w:rFonts w:ascii="David" w:eastAsia="Calibri" w:hAnsi="David"/>
          <w:noProof w:val="0"/>
          <w:rtl/>
        </w:rPr>
        <w:t>ל</w:t>
      </w:r>
      <w:r w:rsidRPr="00C70226">
        <w:rPr>
          <w:rFonts w:ascii="David" w:eastAsia="Calibri" w:hAnsi="David"/>
          <w:b/>
          <w:bCs/>
          <w:noProof w:val="0"/>
          <w:rtl/>
        </w:rPr>
        <w:t>גישת</w:t>
      </w:r>
      <w:r w:rsidRPr="00645879">
        <w:rPr>
          <w:rFonts w:ascii="David" w:eastAsia="Calibri" w:hAnsi="David"/>
          <w:noProof w:val="0"/>
          <w:rtl/>
        </w:rPr>
        <w:t xml:space="preserve"> </w:t>
      </w:r>
      <w:r w:rsidRPr="00C70226">
        <w:rPr>
          <w:rFonts w:ascii="David" w:eastAsia="Calibri" w:hAnsi="David"/>
          <w:b/>
          <w:bCs/>
          <w:noProof w:val="0"/>
          <w:rtl/>
        </w:rPr>
        <w:t>פרשנות חד-שלבית</w:t>
      </w:r>
      <w:r w:rsidRPr="00645879">
        <w:rPr>
          <w:rFonts w:ascii="David" w:eastAsia="Calibri" w:hAnsi="David"/>
          <w:noProof w:val="0"/>
          <w:rtl/>
        </w:rPr>
        <w:t>, לפיה הלשון ו</w:t>
      </w:r>
      <w:r>
        <w:rPr>
          <w:rFonts w:ascii="David" w:eastAsia="Calibri" w:hAnsi="David"/>
          <w:noProof w:val="0"/>
          <w:rtl/>
        </w:rPr>
        <w:t xml:space="preserve">הנסיבות אינן קודמות זו לזו, </w:t>
      </w:r>
      <w:r w:rsidR="00C303BB">
        <w:rPr>
          <w:rFonts w:ascii="David" w:eastAsia="Calibri" w:hAnsi="David" w:hint="cs"/>
          <w:noProof w:val="0"/>
          <w:rtl/>
        </w:rPr>
        <w:t>ו</w:t>
      </w:r>
      <w:r w:rsidRPr="00645879">
        <w:rPr>
          <w:rFonts w:ascii="David" w:eastAsia="Calibri" w:hAnsi="David"/>
          <w:noProof w:val="0"/>
          <w:rtl/>
        </w:rPr>
        <w:t xml:space="preserve">בית המשפט רשאי ללמוד על אומד דעתו של המצווה מכל מקור אמין; אולם, בפסקי דין מאוחרים יותר של בית המשפט העליון </w:t>
      </w:r>
      <w:r w:rsidRPr="00C70226">
        <w:rPr>
          <w:rFonts w:ascii="David" w:eastAsia="Calibri" w:hAnsi="David"/>
          <w:b/>
          <w:bCs/>
          <w:noProof w:val="0"/>
          <w:rtl/>
        </w:rPr>
        <w:t>הובעה הסתייגות</w:t>
      </w:r>
      <w:r w:rsidRPr="00645879">
        <w:rPr>
          <w:rFonts w:ascii="David" w:eastAsia="Calibri" w:hAnsi="David"/>
          <w:noProof w:val="0"/>
          <w:rtl/>
        </w:rPr>
        <w:t xml:space="preserve"> מגישת כבוד השופט ברק בעניין טלמצ'יו. ראו: ע"א 7631/12 </w:t>
      </w:r>
      <w:r w:rsidRPr="00645879">
        <w:rPr>
          <w:rFonts w:ascii="David" w:eastAsia="Calibri" w:hAnsi="David"/>
          <w:b/>
          <w:bCs/>
          <w:noProof w:val="0"/>
          <w:rtl/>
        </w:rPr>
        <w:t>ישראל אמסטר נ' קרן קיימת לישראל</w:t>
      </w:r>
      <w:r w:rsidRPr="00645879">
        <w:rPr>
          <w:rFonts w:ascii="David" w:eastAsia="Calibri" w:hAnsi="David"/>
          <w:noProof w:val="0"/>
          <w:rtl/>
        </w:rPr>
        <w:t xml:space="preserve"> (12.8.2015)‏ (להלן- "</w:t>
      </w:r>
      <w:r w:rsidRPr="00645879">
        <w:rPr>
          <w:rFonts w:ascii="David" w:eastAsia="Calibri" w:hAnsi="David"/>
          <w:b/>
          <w:bCs/>
          <w:noProof w:val="0"/>
          <w:rtl/>
        </w:rPr>
        <w:t>עניין אמסטר</w:t>
      </w:r>
      <w:r w:rsidRPr="00645879">
        <w:rPr>
          <w:rFonts w:ascii="David" w:eastAsia="Calibri" w:hAnsi="David"/>
          <w:noProof w:val="0"/>
          <w:rtl/>
        </w:rPr>
        <w:t xml:space="preserve">"); בע"מ 8300/11 </w:t>
      </w:r>
      <w:r w:rsidRPr="00645879">
        <w:rPr>
          <w:rFonts w:ascii="David" w:eastAsia="Calibri" w:hAnsi="David"/>
          <w:b/>
          <w:bCs/>
          <w:noProof w:val="0"/>
          <w:rtl/>
        </w:rPr>
        <w:t>פלוני נ' פלוני</w:t>
      </w:r>
      <w:r w:rsidRPr="00645879">
        <w:rPr>
          <w:rFonts w:ascii="David" w:eastAsia="Calibri" w:hAnsi="David"/>
          <w:noProof w:val="0"/>
          <w:rtl/>
        </w:rPr>
        <w:t xml:space="preserve"> (02.08.2012); ופסק דינה של </w:t>
      </w:r>
      <w:r w:rsidR="00027B65">
        <w:rPr>
          <w:rFonts w:ascii="David" w:eastAsia="Calibri" w:hAnsi="David" w:hint="cs"/>
          <w:noProof w:val="0"/>
          <w:rtl/>
        </w:rPr>
        <w:t xml:space="preserve">חברתי, </w:t>
      </w:r>
      <w:r w:rsidRPr="00645879">
        <w:rPr>
          <w:rFonts w:ascii="David" w:eastAsia="Calibri" w:hAnsi="David"/>
          <w:noProof w:val="0"/>
          <w:rtl/>
        </w:rPr>
        <w:t xml:space="preserve">כב' סגנית הנשיאה </w:t>
      </w:r>
      <w:r w:rsidR="00E84971">
        <w:rPr>
          <w:rFonts w:ascii="David" w:eastAsia="Calibri" w:hAnsi="David" w:hint="cs"/>
          <w:noProof w:val="0"/>
          <w:rtl/>
        </w:rPr>
        <w:t xml:space="preserve">השופטת </w:t>
      </w:r>
      <w:r w:rsidRPr="00645879">
        <w:rPr>
          <w:rFonts w:ascii="David" w:eastAsia="Calibri" w:hAnsi="David"/>
          <w:noProof w:val="0"/>
          <w:rtl/>
        </w:rPr>
        <w:t xml:space="preserve">אורלי שמאי כתב, תמ"ש (משפחה ירושלים) 39417-06-21 </w:t>
      </w:r>
      <w:r w:rsidRPr="00645879">
        <w:rPr>
          <w:rFonts w:ascii="David" w:eastAsia="Calibri" w:hAnsi="David"/>
          <w:b/>
          <w:bCs/>
          <w:noProof w:val="0"/>
          <w:rtl/>
        </w:rPr>
        <w:t xml:space="preserve">פלונית נ' פלוני </w:t>
      </w:r>
      <w:r w:rsidRPr="00645879">
        <w:rPr>
          <w:rFonts w:ascii="David" w:eastAsia="Calibri" w:hAnsi="David"/>
          <w:noProof w:val="0"/>
          <w:rtl/>
        </w:rPr>
        <w:t xml:space="preserve">(28.9.2023)‏, פסקאות 27-32 לפסק הדין והאזכורים שם. </w:t>
      </w:r>
    </w:p>
    <w:p w:rsidR="00645879" w:rsidRDefault="00645879" w:rsidP="00645879">
      <w:pPr>
        <w:pStyle w:val="ae"/>
        <w:rPr>
          <w:rFonts w:ascii="David" w:eastAsia="Calibri" w:hAnsi="David"/>
          <w:noProof w:val="0"/>
          <w:rtl/>
        </w:rPr>
      </w:pPr>
    </w:p>
    <w:p w:rsidR="00BE24BC" w:rsidRDefault="00645879" w:rsidP="00C303BB">
      <w:pPr>
        <w:numPr>
          <w:ilvl w:val="0"/>
          <w:numId w:val="4"/>
        </w:numPr>
        <w:spacing w:after="160" w:line="360" w:lineRule="auto"/>
        <w:ind w:left="368"/>
        <w:contextualSpacing/>
        <w:jc w:val="both"/>
        <w:rPr>
          <w:rFonts w:ascii="David" w:eastAsia="Calibri" w:hAnsi="David"/>
          <w:noProof w:val="0"/>
        </w:rPr>
      </w:pPr>
      <w:r w:rsidRPr="00645879">
        <w:rPr>
          <w:rFonts w:ascii="David" w:eastAsia="Calibri" w:hAnsi="David"/>
          <w:noProof w:val="0"/>
          <w:rtl/>
        </w:rPr>
        <w:t xml:space="preserve">כב' השופט דנציגר בעניין </w:t>
      </w:r>
      <w:r w:rsidRPr="00C303BB">
        <w:rPr>
          <w:rFonts w:ascii="David" w:eastAsia="Calibri" w:hAnsi="David"/>
          <w:b/>
          <w:bCs/>
          <w:noProof w:val="0"/>
          <w:rtl/>
        </w:rPr>
        <w:t>אמסטר</w:t>
      </w:r>
      <w:r w:rsidRPr="00645879">
        <w:rPr>
          <w:rFonts w:ascii="David" w:eastAsia="Calibri" w:hAnsi="David"/>
          <w:noProof w:val="0"/>
          <w:rtl/>
        </w:rPr>
        <w:t xml:space="preserve">, </w:t>
      </w:r>
      <w:r w:rsidR="00797625">
        <w:rPr>
          <w:rFonts w:ascii="David" w:eastAsia="Calibri" w:hAnsi="David" w:hint="cs"/>
          <w:noProof w:val="0"/>
          <w:rtl/>
        </w:rPr>
        <w:t>סיכם את ההלכה לעניין פרשנות צוואה וקבע:</w:t>
      </w:r>
      <w:r w:rsidR="00C303BB">
        <w:rPr>
          <w:rFonts w:ascii="David" w:eastAsia="Calibri" w:hAnsi="David" w:hint="cs"/>
          <w:noProof w:val="0"/>
          <w:rtl/>
        </w:rPr>
        <w:t xml:space="preserve"> </w:t>
      </w:r>
      <w:r w:rsidRPr="00645879">
        <w:rPr>
          <w:rFonts w:ascii="David" w:eastAsia="Calibri" w:hAnsi="David"/>
          <w:noProof w:val="0"/>
          <w:rtl/>
        </w:rPr>
        <w:t>"...</w:t>
      </w:r>
      <w:r w:rsidRPr="00797625">
        <w:rPr>
          <w:rFonts w:ascii="David" w:eastAsia="Calibri" w:hAnsi="David"/>
          <w:b/>
          <w:bCs/>
          <w:noProof w:val="0"/>
          <w:rtl/>
        </w:rPr>
        <w:t xml:space="preserve">הגישה שהשתרשה בפסיקת בית משפט זה ..., עולה בקנה אחד עם אופן ניסוחו של סעיף 54 לחוק הירושה, והיא משקפת את </w:t>
      </w:r>
      <w:r w:rsidRPr="00C70226">
        <w:rPr>
          <w:rFonts w:ascii="David" w:eastAsia="Calibri" w:hAnsi="David"/>
          <w:b/>
          <w:bCs/>
          <w:noProof w:val="0"/>
          <w:u w:val="single"/>
          <w:rtl/>
        </w:rPr>
        <w:t>הזהירות שבה על בית המשפט לפעול בבואו לפרש צוואה</w:t>
      </w:r>
      <w:r w:rsidRPr="00797625">
        <w:rPr>
          <w:rFonts w:ascii="David" w:eastAsia="Calibri" w:hAnsi="David"/>
          <w:b/>
          <w:bCs/>
          <w:noProof w:val="0"/>
          <w:rtl/>
        </w:rPr>
        <w:t xml:space="preserve">. על פי גישה זו יש בשלב ראשון לפרש ולבחון את אומד דעתו של המצווה מתוך הצוואה (פרשנות "פנימית"), </w:t>
      </w:r>
      <w:r w:rsidRPr="00C70226">
        <w:rPr>
          <w:rFonts w:ascii="David" w:eastAsia="Calibri" w:hAnsi="David"/>
          <w:b/>
          <w:bCs/>
          <w:noProof w:val="0"/>
          <w:u w:val="single"/>
          <w:rtl/>
        </w:rPr>
        <w:t>ורק אם לא ניתן לעמוד על אומד דעתו מתוך הצוואה יש לפנות בשלב שני לנסיבות החיצוניות</w:t>
      </w:r>
      <w:r w:rsidRPr="00797625">
        <w:rPr>
          <w:rFonts w:ascii="David" w:eastAsia="Calibri" w:hAnsi="David"/>
          <w:b/>
          <w:bCs/>
          <w:noProof w:val="0"/>
          <w:rtl/>
        </w:rPr>
        <w:t>. גישה זו מניחה כי בבואו של המצווה לנסח צוואה הוא שקל היטב את דבריו וניסח את כוונתו בזהירות ובקפידה, ומשכך על בית המשפט להיזהר מאד במלאכת הפרשנות, תוך מתן משקל ניכר ללשון הצוואה לעומת הנסיבות החיצוניות שסובבות את עריכתה.... מתוך הנחה שהמצווה, בבואו להורות כיצד יחולק רכושו לאחר מותו, ערך את צוואתו לאחר התלבטות ומחשבה מעמיקים, ומשכך על בית המשפט להימנע מפרשנות שמתרחקת מהלשון הברורה ושעלולה הלכה למעשה להוביל לעריכה מחדש (ובדיעבד) של הצוואה. ... הדברים נכונים שבעתיים כאשר עסקינן בניסיון להעניק לצוואה – כחלק ממהלך פרשני, להבדיל מתיקון טעות שנפלה בצוואה – פרשנות שאין לה שום בסיס בלשונה הברורה והמפורשת של הצוואה... ספק בעיניי אם יש הצדקה כלשהי לנקוט במהלך פרשני של צוואה המעמיד את המצווה הספציפי – שכבר אינו בין החיים בשלב זה ולא ניתן לשאול אותו לדעתו ולכוונתו – בנעליו של מצווה סביר או תם לב או הגון, ולבחון מה צריך היה להיות אומד דעתו ההיפותטי בנסיבות העניין, אף תוך מתן פרשנות שאין לה עיגון כלשהו בלשון הצוואה. פרשנות כזו עלולה להפוך את בית המשפט מפרשן של הצוואה לעורך מחדש של הצוואה לאחר מותו של המצווה, דבר שאין לו שום הצדקה ושממילא בית המשפט אינו מוסמך לעשותו</w:t>
      </w:r>
      <w:r w:rsidRPr="00645879">
        <w:rPr>
          <w:rFonts w:ascii="David" w:eastAsia="Calibri" w:hAnsi="David"/>
          <w:noProof w:val="0"/>
          <w:rtl/>
        </w:rPr>
        <w:t>". שם, בפסקה 34 לפסק דינו של כב' השופט דנציגר.</w:t>
      </w:r>
      <w:r w:rsidR="00C70226">
        <w:rPr>
          <w:rFonts w:ascii="David" w:eastAsia="Calibri" w:hAnsi="David" w:hint="cs"/>
          <w:noProof w:val="0"/>
          <w:rtl/>
        </w:rPr>
        <w:t xml:space="preserve"> (הדגשות שלי- ה.ג.)</w:t>
      </w:r>
    </w:p>
    <w:p w:rsidR="00797625" w:rsidRPr="00645879" w:rsidRDefault="00797625" w:rsidP="00797625">
      <w:pPr>
        <w:spacing w:after="160" w:line="360" w:lineRule="auto"/>
        <w:ind w:left="368"/>
        <w:contextualSpacing/>
        <w:jc w:val="both"/>
        <w:rPr>
          <w:rFonts w:ascii="David" w:eastAsia="Calibri" w:hAnsi="David"/>
          <w:noProof w:val="0"/>
          <w:rtl/>
        </w:rPr>
      </w:pPr>
    </w:p>
    <w:p w:rsidR="00E34603" w:rsidRPr="00971C84" w:rsidRDefault="00C26DF5" w:rsidP="00971C84">
      <w:pPr>
        <w:spacing w:after="160" w:line="360" w:lineRule="auto"/>
        <w:ind w:left="368"/>
        <w:contextualSpacing/>
        <w:jc w:val="both"/>
        <w:rPr>
          <w:rFonts w:ascii="David" w:eastAsia="Calibri" w:hAnsi="David"/>
          <w:b/>
          <w:bCs/>
          <w:noProof w:val="0"/>
          <w:rtl/>
        </w:rPr>
      </w:pPr>
      <w:r w:rsidRPr="00971C84">
        <w:rPr>
          <w:rFonts w:ascii="David" w:eastAsia="Calibri" w:hAnsi="David" w:hint="cs"/>
          <w:b/>
          <w:bCs/>
          <w:noProof w:val="0"/>
          <w:rtl/>
        </w:rPr>
        <w:t xml:space="preserve">עקרונות </w:t>
      </w:r>
      <w:r w:rsidR="00E34603" w:rsidRPr="00971C84">
        <w:rPr>
          <w:rFonts w:ascii="David" w:eastAsia="Calibri" w:hAnsi="David"/>
          <w:b/>
          <w:bCs/>
          <w:noProof w:val="0"/>
          <w:rtl/>
        </w:rPr>
        <w:t>פרשנות צוואה הדדית</w:t>
      </w:r>
      <w:r w:rsidRPr="00971C84">
        <w:rPr>
          <w:rFonts w:ascii="David" w:eastAsia="Calibri" w:hAnsi="David" w:hint="cs"/>
          <w:b/>
          <w:bCs/>
          <w:noProof w:val="0"/>
          <w:rtl/>
        </w:rPr>
        <w:t xml:space="preserve"> </w:t>
      </w:r>
    </w:p>
    <w:p w:rsidR="00E34603" w:rsidRPr="00E34603" w:rsidRDefault="00E34603" w:rsidP="00971C84">
      <w:pPr>
        <w:spacing w:after="160" w:line="360" w:lineRule="auto"/>
        <w:ind w:left="368"/>
        <w:contextualSpacing/>
        <w:jc w:val="both"/>
        <w:rPr>
          <w:rFonts w:ascii="David" w:eastAsia="Calibri" w:hAnsi="David"/>
          <w:noProof w:val="0"/>
          <w:rtl/>
        </w:rPr>
      </w:pPr>
    </w:p>
    <w:p w:rsidR="00E34603" w:rsidRPr="00E34603" w:rsidRDefault="00E34603" w:rsidP="00BE24BC">
      <w:pPr>
        <w:numPr>
          <w:ilvl w:val="0"/>
          <w:numId w:val="4"/>
        </w:numPr>
        <w:spacing w:after="160" w:line="360" w:lineRule="auto"/>
        <w:ind w:left="368"/>
        <w:contextualSpacing/>
        <w:jc w:val="both"/>
        <w:rPr>
          <w:rFonts w:ascii="David" w:eastAsia="Calibri" w:hAnsi="David"/>
          <w:noProof w:val="0"/>
          <w:rtl/>
        </w:rPr>
      </w:pPr>
      <w:r w:rsidRPr="00E34603">
        <w:rPr>
          <w:rFonts w:ascii="David" w:eastAsia="Calibri" w:hAnsi="David"/>
          <w:noProof w:val="0"/>
          <w:rtl/>
        </w:rPr>
        <w:t xml:space="preserve">לנוכח עקרון ההסתמכות המייחד צוואות הדדיות, נקבע בפסיקה כי הפרשנות של צוואה הדדית צריכה להיות בהתאם לאומד הדעת </w:t>
      </w:r>
      <w:r w:rsidRPr="00797625">
        <w:rPr>
          <w:rFonts w:ascii="David" w:eastAsia="Calibri" w:hAnsi="David"/>
          <w:b/>
          <w:bCs/>
          <w:noProof w:val="0"/>
          <w:rtl/>
        </w:rPr>
        <w:t>המשותף</w:t>
      </w:r>
      <w:r w:rsidRPr="00E34603">
        <w:rPr>
          <w:rFonts w:ascii="David" w:eastAsia="Calibri" w:hAnsi="David"/>
          <w:noProof w:val="0"/>
          <w:rtl/>
        </w:rPr>
        <w:t xml:space="preserve"> של המצווים שניהם. </w:t>
      </w:r>
    </w:p>
    <w:p w:rsidR="00E34603" w:rsidRPr="00E34603" w:rsidRDefault="00E34603" w:rsidP="00971C84">
      <w:pPr>
        <w:spacing w:after="160" w:line="360" w:lineRule="auto"/>
        <w:ind w:left="368"/>
        <w:contextualSpacing/>
        <w:jc w:val="both"/>
        <w:rPr>
          <w:rFonts w:ascii="David" w:eastAsia="Calibri" w:hAnsi="David"/>
          <w:noProof w:val="0"/>
        </w:rPr>
      </w:pPr>
    </w:p>
    <w:p w:rsidR="00C303BB" w:rsidRPr="00C303BB" w:rsidRDefault="00C303BB" w:rsidP="00BE24BC">
      <w:pPr>
        <w:numPr>
          <w:ilvl w:val="0"/>
          <w:numId w:val="4"/>
        </w:numPr>
        <w:spacing w:after="160" w:line="360" w:lineRule="auto"/>
        <w:ind w:left="368"/>
        <w:contextualSpacing/>
        <w:jc w:val="both"/>
        <w:rPr>
          <w:rFonts w:ascii="David" w:eastAsia="Calibri" w:hAnsi="David"/>
          <w:noProof w:val="0"/>
        </w:rPr>
      </w:pPr>
      <w:r>
        <w:rPr>
          <w:rFonts w:ascii="David" w:eastAsia="Calibri" w:hAnsi="David" w:hint="cs"/>
          <w:noProof w:val="0"/>
          <w:rtl/>
        </w:rPr>
        <w:lastRenderedPageBreak/>
        <w:t xml:space="preserve">בפרשת </w:t>
      </w:r>
      <w:r w:rsidRPr="001A5A3D">
        <w:rPr>
          <w:rFonts w:ascii="David" w:eastAsia="Calibri" w:hAnsi="David" w:hint="cs"/>
          <w:noProof w:val="0"/>
          <w:rtl/>
        </w:rPr>
        <w:t>לרנר</w:t>
      </w:r>
      <w:r>
        <w:rPr>
          <w:rFonts w:ascii="David" w:eastAsia="Calibri" w:hAnsi="David" w:hint="cs"/>
          <w:noProof w:val="0"/>
          <w:rtl/>
        </w:rPr>
        <w:t xml:space="preserve"> הנ"ל נקבע</w:t>
      </w:r>
      <w:r w:rsidR="00E34603" w:rsidRPr="00E34603">
        <w:rPr>
          <w:rFonts w:ascii="David" w:eastAsia="Calibri" w:hAnsi="David"/>
          <w:noProof w:val="0"/>
          <w:rtl/>
        </w:rPr>
        <w:t>: "</w:t>
      </w:r>
      <w:r w:rsidR="00E34603" w:rsidRPr="00BE24BC">
        <w:rPr>
          <w:rFonts w:ascii="David" w:eastAsia="Calibri" w:hAnsi="David"/>
          <w:noProof w:val="0"/>
          <w:rtl/>
        </w:rPr>
        <w:t xml:space="preserve"> </w:t>
      </w:r>
      <w:r w:rsidR="00E34603" w:rsidRPr="00797625">
        <w:rPr>
          <w:rFonts w:ascii="David" w:eastAsia="Calibri" w:hAnsi="David"/>
          <w:b/>
          <w:bCs/>
          <w:noProof w:val="0"/>
          <w:rtl/>
        </w:rPr>
        <w:t>בפרשנותה של צוואה משותפת והדדית ... באים אנו לאמוד את דעתם המשותפת של שני המצווים כאילו הם אחד. כאן באים אנו ללמוד על כוונתם של המצווים דווקא מתוך הדמיון ומתוך השוני שבהוראותיהם מתוך הזיקה והתלות שבין הצוואות – אם נעשו בשני מסמכים נפרדים – ומתוך תשומת לב לאינטרס ההסתמכות</w:t>
      </w:r>
      <w:r>
        <w:rPr>
          <w:rFonts w:ascii="David" w:eastAsia="Calibri" w:hAnsi="David" w:hint="cs"/>
          <w:b/>
          <w:bCs/>
          <w:noProof w:val="0"/>
          <w:rtl/>
        </w:rPr>
        <w:t>..."</w:t>
      </w:r>
      <w:r w:rsidR="00E34603" w:rsidRPr="00797625">
        <w:rPr>
          <w:rFonts w:ascii="David" w:eastAsia="Calibri" w:hAnsi="David"/>
          <w:b/>
          <w:bCs/>
          <w:noProof w:val="0"/>
          <w:rtl/>
        </w:rPr>
        <w:t>.</w:t>
      </w:r>
    </w:p>
    <w:p w:rsidR="00E34603" w:rsidRPr="00E34603" w:rsidRDefault="00C303BB" w:rsidP="00305405">
      <w:pPr>
        <w:spacing w:after="160" w:line="360" w:lineRule="auto"/>
        <w:ind w:left="368"/>
        <w:contextualSpacing/>
        <w:jc w:val="both"/>
        <w:rPr>
          <w:rFonts w:ascii="David" w:eastAsia="Calibri" w:hAnsi="David"/>
          <w:noProof w:val="0"/>
        </w:rPr>
      </w:pPr>
      <w:r>
        <w:rPr>
          <w:rFonts w:ascii="David" w:eastAsia="Calibri" w:hAnsi="David" w:hint="cs"/>
          <w:noProof w:val="0"/>
          <w:rtl/>
        </w:rPr>
        <w:t xml:space="preserve">וכן ראו </w:t>
      </w:r>
      <w:r w:rsidR="00E34603" w:rsidRPr="00BE24BC">
        <w:rPr>
          <w:rFonts w:ascii="David" w:eastAsia="Calibri" w:hAnsi="David"/>
          <w:noProof w:val="0"/>
          <w:rtl/>
        </w:rPr>
        <w:t xml:space="preserve">דברי הנשיא </w:t>
      </w:r>
      <w:r w:rsidR="00305405">
        <w:rPr>
          <w:rFonts w:ascii="David" w:eastAsia="Calibri" w:hAnsi="David" w:hint="cs"/>
          <w:noProof w:val="0"/>
          <w:rtl/>
        </w:rPr>
        <w:t xml:space="preserve">(כתארו דאז) </w:t>
      </w:r>
      <w:r w:rsidR="00E34603" w:rsidRPr="00BE24BC">
        <w:rPr>
          <w:rFonts w:ascii="David" w:eastAsia="Calibri" w:hAnsi="David"/>
          <w:noProof w:val="0"/>
          <w:rtl/>
        </w:rPr>
        <w:t xml:space="preserve">א' ברק בע"א 490/99 </w:t>
      </w:r>
      <w:r w:rsidR="00E34603" w:rsidRPr="00305405">
        <w:rPr>
          <w:rFonts w:ascii="David" w:eastAsia="Calibri" w:hAnsi="David"/>
          <w:b/>
          <w:bCs/>
          <w:noProof w:val="0"/>
          <w:rtl/>
        </w:rPr>
        <w:t>הקדש מנחם ובלומה אטינגר נ' אבן טוב ואח'</w:t>
      </w:r>
      <w:r w:rsidR="00E34603" w:rsidRPr="00BE24BC">
        <w:rPr>
          <w:rFonts w:ascii="David" w:eastAsia="Calibri" w:hAnsi="David"/>
          <w:noProof w:val="0"/>
          <w:rtl/>
        </w:rPr>
        <w:t>, פ"ד נז(5) 145, 156</w:t>
      </w:r>
      <w:r w:rsidR="00305405">
        <w:rPr>
          <w:rFonts w:ascii="David" w:eastAsia="Calibri" w:hAnsi="David" w:hint="cs"/>
          <w:noProof w:val="0"/>
          <w:rtl/>
        </w:rPr>
        <w:t>; ו</w:t>
      </w:r>
      <w:r w:rsidR="00E34603" w:rsidRPr="00E34603">
        <w:rPr>
          <w:rFonts w:ascii="David" w:eastAsia="Calibri" w:hAnsi="David"/>
          <w:noProof w:val="0"/>
          <w:rtl/>
        </w:rPr>
        <w:t>ראו גם: ברק, בעמ' 73 לספרו.</w:t>
      </w:r>
    </w:p>
    <w:p w:rsidR="00E34603" w:rsidRPr="00E34603" w:rsidRDefault="00E34603" w:rsidP="00971C84">
      <w:pPr>
        <w:spacing w:after="160" w:line="360" w:lineRule="auto"/>
        <w:ind w:left="368"/>
        <w:contextualSpacing/>
        <w:jc w:val="both"/>
        <w:rPr>
          <w:rFonts w:ascii="David" w:eastAsia="Calibri" w:hAnsi="David"/>
          <w:noProof w:val="0"/>
        </w:rPr>
      </w:pPr>
    </w:p>
    <w:p w:rsidR="00E34603" w:rsidRPr="00E34603" w:rsidRDefault="00797625" w:rsidP="00797625">
      <w:pPr>
        <w:numPr>
          <w:ilvl w:val="0"/>
          <w:numId w:val="4"/>
        </w:numPr>
        <w:spacing w:after="160" w:line="360" w:lineRule="auto"/>
        <w:ind w:left="368"/>
        <w:contextualSpacing/>
        <w:jc w:val="both"/>
        <w:rPr>
          <w:rFonts w:ascii="David" w:eastAsia="Calibri" w:hAnsi="David"/>
          <w:noProof w:val="0"/>
        </w:rPr>
      </w:pPr>
      <w:r>
        <w:rPr>
          <w:rFonts w:ascii="David" w:eastAsia="Calibri" w:hAnsi="David" w:hint="cs"/>
          <w:noProof w:val="0"/>
          <w:rtl/>
        </w:rPr>
        <w:t xml:space="preserve">הפסיקה </w:t>
      </w:r>
      <w:r w:rsidR="00C70226">
        <w:rPr>
          <w:rFonts w:ascii="David" w:eastAsia="Calibri" w:hAnsi="David" w:hint="cs"/>
          <w:noProof w:val="0"/>
          <w:rtl/>
        </w:rPr>
        <w:t xml:space="preserve">קבעה </w:t>
      </w:r>
      <w:r w:rsidR="00105E13">
        <w:rPr>
          <w:rFonts w:ascii="David" w:eastAsia="Calibri" w:hAnsi="David" w:hint="cs"/>
          <w:noProof w:val="0"/>
          <w:rtl/>
        </w:rPr>
        <w:t>כי</w:t>
      </w:r>
      <w:r w:rsidR="00E34603" w:rsidRPr="00E34603">
        <w:rPr>
          <w:rFonts w:ascii="David" w:eastAsia="Calibri" w:hAnsi="David"/>
          <w:noProof w:val="0"/>
          <w:rtl/>
        </w:rPr>
        <w:t xml:space="preserve"> יש לפרש הוראות צוואה הדדית בהתאם לכלים הפרשניים הנוהגים </w:t>
      </w:r>
      <w:r w:rsidR="00E34603" w:rsidRPr="00797625">
        <w:rPr>
          <w:rFonts w:ascii="David" w:eastAsia="Calibri" w:hAnsi="David"/>
          <w:b/>
          <w:bCs/>
          <w:noProof w:val="0"/>
          <w:rtl/>
        </w:rPr>
        <w:t>נכון למועד עריכת הצוואה</w:t>
      </w:r>
      <w:r w:rsidR="00E34603" w:rsidRPr="00E34603">
        <w:rPr>
          <w:rFonts w:ascii="David" w:eastAsia="Calibri" w:hAnsi="David"/>
          <w:noProof w:val="0"/>
          <w:rtl/>
        </w:rPr>
        <w:t>. ראו: ת"ע (משפחה חיפה) 2652-09-17 </w:t>
      </w:r>
      <w:r w:rsidR="00E34603" w:rsidRPr="00797625">
        <w:rPr>
          <w:rFonts w:ascii="David" w:eastAsia="Calibri" w:hAnsi="David"/>
          <w:b/>
          <w:bCs/>
          <w:noProof w:val="0"/>
          <w:rtl/>
        </w:rPr>
        <w:t>מ' נ' ע</w:t>
      </w:r>
      <w:r w:rsidR="00E34603" w:rsidRPr="00797625">
        <w:rPr>
          <w:rFonts w:ascii="David" w:eastAsia="Calibri" w:hAnsi="David"/>
          <w:b/>
          <w:bCs/>
          <w:noProof w:val="0"/>
        </w:rPr>
        <w:t>'</w:t>
      </w:r>
      <w:r w:rsidR="00E34603" w:rsidRPr="00E34603">
        <w:rPr>
          <w:rFonts w:ascii="David" w:eastAsia="Calibri" w:hAnsi="David"/>
          <w:noProof w:val="0"/>
        </w:rPr>
        <w:t> </w:t>
      </w:r>
      <w:r w:rsidR="00E34603" w:rsidRPr="00E34603">
        <w:rPr>
          <w:rFonts w:ascii="David" w:eastAsia="Calibri" w:hAnsi="David"/>
          <w:noProof w:val="0"/>
          <w:rtl/>
        </w:rPr>
        <w:t>(31.12.2020)‏.</w:t>
      </w:r>
    </w:p>
    <w:p w:rsidR="00E34603" w:rsidRPr="00E34603" w:rsidRDefault="00E34603" w:rsidP="00971C84">
      <w:pPr>
        <w:spacing w:after="160" w:line="360" w:lineRule="auto"/>
        <w:ind w:left="368"/>
        <w:contextualSpacing/>
        <w:jc w:val="both"/>
        <w:rPr>
          <w:rFonts w:ascii="David" w:eastAsia="Calibri" w:hAnsi="David"/>
          <w:noProof w:val="0"/>
        </w:rPr>
      </w:pPr>
    </w:p>
    <w:p w:rsidR="00E34603" w:rsidRDefault="00E34603" w:rsidP="00BE24BC">
      <w:pPr>
        <w:numPr>
          <w:ilvl w:val="0"/>
          <w:numId w:val="4"/>
        </w:numPr>
        <w:spacing w:after="160" w:line="360" w:lineRule="auto"/>
        <w:ind w:left="368"/>
        <w:contextualSpacing/>
        <w:jc w:val="both"/>
        <w:rPr>
          <w:rFonts w:ascii="David" w:eastAsia="Calibri" w:hAnsi="David"/>
          <w:noProof w:val="0"/>
        </w:rPr>
      </w:pPr>
      <w:r w:rsidRPr="00E34603">
        <w:rPr>
          <w:rFonts w:ascii="David" w:eastAsia="Calibri" w:hAnsi="David"/>
          <w:noProof w:val="0"/>
          <w:rtl/>
        </w:rPr>
        <w:t>כפי שהובהר לעניין זה בעמ"ש 36694-10-16 הנ"ל: "</w:t>
      </w:r>
      <w:r w:rsidRPr="00797625">
        <w:rPr>
          <w:rFonts w:ascii="David" w:eastAsia="Calibri" w:hAnsi="David"/>
          <w:b/>
          <w:bCs/>
          <w:noProof w:val="0"/>
          <w:rtl/>
        </w:rPr>
        <w:t>על כן נתקבעה ההלכה, כי בני זוג שכתבו צוואותיהם לפני התיקון, כל שעמד לפניהם הוא הוראות הדין הנ"ל, בדבר אי הגבלות על שינוי הצוואה. ולכן בני זוג כאלה, בהעדר כוונה אחרת, מפורשת או משתמעת, לא ניתן להניח כי רצונם היה להגביל זה את כוחו של זה בשינוי הצוואה ולא נכון להטיל עליהם את הנטל המוטל על בני זוג שערכו צוואותיהם אחרי התיקון, לכתוב בהן במפורש "ה</w:t>
      </w:r>
      <w:r w:rsidR="00C82AD2" w:rsidRPr="00797625">
        <w:rPr>
          <w:rFonts w:ascii="David" w:eastAsia="Calibri" w:hAnsi="David" w:hint="cs"/>
          <w:b/>
          <w:bCs/>
          <w:noProof w:val="0"/>
          <w:rtl/>
        </w:rPr>
        <w:t>ו</w:t>
      </w:r>
      <w:r w:rsidRPr="00797625">
        <w:rPr>
          <w:rFonts w:ascii="David" w:eastAsia="Calibri" w:hAnsi="David"/>
          <w:b/>
          <w:bCs/>
          <w:noProof w:val="0"/>
          <w:rtl/>
        </w:rPr>
        <w:t>ראה אחרת" בה הם מבקשים לשחרר איש את רעהו מהגבלות התיקון</w:t>
      </w:r>
      <w:r w:rsidRPr="00E34603">
        <w:rPr>
          <w:rFonts w:ascii="David" w:eastAsia="Calibri" w:hAnsi="David"/>
          <w:noProof w:val="0"/>
          <w:rtl/>
        </w:rPr>
        <w:t>".</w:t>
      </w:r>
    </w:p>
    <w:p w:rsidR="00E34603" w:rsidRPr="00971C84" w:rsidRDefault="00E34603" w:rsidP="00971C84">
      <w:pPr>
        <w:spacing w:after="160" w:line="360" w:lineRule="auto"/>
        <w:ind w:left="368"/>
        <w:contextualSpacing/>
        <w:jc w:val="both"/>
        <w:rPr>
          <w:rFonts w:ascii="David" w:eastAsia="Calibri" w:hAnsi="David"/>
          <w:noProof w:val="0"/>
        </w:rPr>
      </w:pPr>
    </w:p>
    <w:p w:rsidR="00CB20DD" w:rsidRPr="00C70226" w:rsidRDefault="00CB20DD" w:rsidP="00C70226">
      <w:pPr>
        <w:spacing w:after="160" w:line="360" w:lineRule="auto"/>
        <w:ind w:left="8"/>
        <w:contextualSpacing/>
        <w:jc w:val="both"/>
        <w:rPr>
          <w:rFonts w:ascii="David" w:eastAsia="Calibri" w:hAnsi="David"/>
          <w:b/>
          <w:bCs/>
          <w:noProof w:val="0"/>
          <w:u w:val="single"/>
          <w:rtl/>
        </w:rPr>
      </w:pPr>
      <w:r w:rsidRPr="00C70226">
        <w:rPr>
          <w:rFonts w:ascii="David" w:eastAsia="Calibri" w:hAnsi="David" w:hint="cs"/>
          <w:b/>
          <w:bCs/>
          <w:noProof w:val="0"/>
          <w:u w:val="single"/>
          <w:rtl/>
        </w:rPr>
        <w:t>יישום הוראות הדין על הנדון</w:t>
      </w:r>
    </w:p>
    <w:p w:rsidR="00CB20DD" w:rsidRPr="00971C84" w:rsidRDefault="00CB20DD" w:rsidP="00971C84">
      <w:pPr>
        <w:spacing w:after="160" w:line="360" w:lineRule="auto"/>
        <w:ind w:left="368"/>
        <w:contextualSpacing/>
        <w:jc w:val="both"/>
        <w:rPr>
          <w:rFonts w:ascii="David" w:eastAsia="Calibri" w:hAnsi="David"/>
          <w:b/>
          <w:bCs/>
          <w:noProof w:val="0"/>
          <w:rtl/>
        </w:rPr>
      </w:pPr>
    </w:p>
    <w:p w:rsidR="00E34603" w:rsidRPr="00971C84" w:rsidRDefault="00E34603" w:rsidP="00971C84">
      <w:pPr>
        <w:spacing w:after="160" w:line="360" w:lineRule="auto"/>
        <w:ind w:left="368"/>
        <w:contextualSpacing/>
        <w:jc w:val="both"/>
        <w:rPr>
          <w:rFonts w:ascii="David" w:eastAsia="Calibri" w:hAnsi="David"/>
          <w:b/>
          <w:bCs/>
          <w:noProof w:val="0"/>
        </w:rPr>
      </w:pPr>
      <w:r w:rsidRPr="00971C84">
        <w:rPr>
          <w:rFonts w:ascii="David" w:eastAsia="Calibri" w:hAnsi="David"/>
          <w:b/>
          <w:bCs/>
          <w:noProof w:val="0"/>
          <w:rtl/>
        </w:rPr>
        <w:t>פרשנות סעיף 11 לצוואת 2005</w:t>
      </w:r>
    </w:p>
    <w:p w:rsidR="00D63426" w:rsidRPr="00D63426" w:rsidRDefault="00D63426" w:rsidP="00971C84">
      <w:pPr>
        <w:spacing w:after="160" w:line="360" w:lineRule="auto"/>
        <w:ind w:left="368"/>
        <w:contextualSpacing/>
        <w:jc w:val="both"/>
        <w:rPr>
          <w:rFonts w:ascii="David" w:eastAsia="Calibri" w:hAnsi="David"/>
          <w:noProof w:val="0"/>
        </w:rPr>
      </w:pPr>
    </w:p>
    <w:p w:rsidR="00E34603" w:rsidRPr="00E34603" w:rsidRDefault="00E34603" w:rsidP="00BE24BC">
      <w:pPr>
        <w:numPr>
          <w:ilvl w:val="0"/>
          <w:numId w:val="4"/>
        </w:numPr>
        <w:spacing w:after="160" w:line="360" w:lineRule="auto"/>
        <w:ind w:left="368"/>
        <w:contextualSpacing/>
        <w:jc w:val="both"/>
        <w:rPr>
          <w:rFonts w:ascii="David" w:eastAsia="Calibri" w:hAnsi="David"/>
          <w:noProof w:val="0"/>
          <w:rtl/>
        </w:rPr>
      </w:pPr>
      <w:r w:rsidRPr="00BE24BC">
        <w:rPr>
          <w:rFonts w:ascii="David" w:eastAsia="Calibri" w:hAnsi="David"/>
          <w:noProof w:val="0"/>
          <w:rtl/>
        </w:rPr>
        <w:t>במקרה דנן</w:t>
      </w:r>
      <w:r w:rsidRPr="00E34603">
        <w:rPr>
          <w:rFonts w:ascii="David" w:eastAsia="Calibri" w:hAnsi="David"/>
          <w:noProof w:val="0"/>
          <w:rtl/>
        </w:rPr>
        <w:t xml:space="preserve"> חלוקים הצדדים אודות </w:t>
      </w:r>
      <w:r w:rsidRPr="00BE24BC">
        <w:rPr>
          <w:rFonts w:ascii="David" w:eastAsia="Calibri" w:hAnsi="David"/>
          <w:noProof w:val="0"/>
          <w:rtl/>
        </w:rPr>
        <w:t>הוראת סעיף 11 לצוואה ההדדית</w:t>
      </w:r>
      <w:r w:rsidRPr="00E34603">
        <w:rPr>
          <w:rFonts w:ascii="David" w:eastAsia="Calibri" w:hAnsi="David"/>
          <w:noProof w:val="0"/>
          <w:rtl/>
        </w:rPr>
        <w:t xml:space="preserve"> של המנוחים</w:t>
      </w:r>
      <w:r w:rsidR="00305405">
        <w:rPr>
          <w:rFonts w:ascii="David" w:eastAsia="Calibri" w:hAnsi="David"/>
          <w:noProof w:val="0"/>
          <w:rtl/>
        </w:rPr>
        <w:t>, אשר למען הנוחות יובא שוב נוסח</w:t>
      </w:r>
      <w:r w:rsidR="00305405">
        <w:rPr>
          <w:rFonts w:ascii="David" w:eastAsia="Calibri" w:hAnsi="David" w:hint="cs"/>
          <w:noProof w:val="0"/>
          <w:rtl/>
        </w:rPr>
        <w:t>ה</w:t>
      </w:r>
      <w:r w:rsidRPr="00E34603">
        <w:rPr>
          <w:rFonts w:ascii="David" w:eastAsia="Calibri" w:hAnsi="David"/>
          <w:noProof w:val="0"/>
          <w:rtl/>
        </w:rPr>
        <w:t xml:space="preserve"> להלן:</w:t>
      </w:r>
      <w:r w:rsidRPr="00BE24BC">
        <w:rPr>
          <w:rFonts w:ascii="David" w:eastAsia="Calibri" w:hAnsi="David"/>
          <w:noProof w:val="0"/>
          <w:rtl/>
        </w:rPr>
        <w:t xml:space="preserve"> </w:t>
      </w:r>
    </w:p>
    <w:p w:rsidR="00E34603" w:rsidRPr="00E34603" w:rsidRDefault="00E34603" w:rsidP="00971C84">
      <w:pPr>
        <w:spacing w:after="160" w:line="360" w:lineRule="auto"/>
        <w:ind w:left="368"/>
        <w:contextualSpacing/>
        <w:jc w:val="both"/>
        <w:rPr>
          <w:rFonts w:ascii="David" w:eastAsia="Calibri" w:hAnsi="David"/>
          <w:noProof w:val="0"/>
        </w:rPr>
      </w:pPr>
    </w:p>
    <w:p w:rsidR="00E34603" w:rsidRPr="00E34603" w:rsidRDefault="00E34603" w:rsidP="00797625">
      <w:pPr>
        <w:spacing w:after="160" w:line="360" w:lineRule="auto"/>
        <w:ind w:left="368"/>
        <w:contextualSpacing/>
        <w:jc w:val="both"/>
        <w:rPr>
          <w:rFonts w:ascii="David" w:eastAsia="Calibri" w:hAnsi="David"/>
          <w:noProof w:val="0"/>
          <w:rtl/>
        </w:rPr>
      </w:pPr>
      <w:r w:rsidRPr="00E34603">
        <w:rPr>
          <w:rFonts w:ascii="David" w:eastAsia="Calibri" w:hAnsi="David"/>
          <w:noProof w:val="0"/>
          <w:rtl/>
        </w:rPr>
        <w:t>"</w:t>
      </w:r>
      <w:r w:rsidRPr="00797625">
        <w:rPr>
          <w:rFonts w:ascii="David" w:eastAsia="Calibri" w:hAnsi="David"/>
          <w:b/>
          <w:bCs/>
          <w:noProof w:val="0"/>
          <w:rtl/>
        </w:rPr>
        <w:t>הננו שומרים לעצמנו את הזכות לשנות או לבטל את צוואתנו זו כולה או מקצתה בכל עת שנרצה ואולם כל עוד לא נשננה ו/או נבטלה – תעמוד צוואה זו בתוקפה.</w:t>
      </w:r>
      <w:r w:rsidRPr="00E34603">
        <w:rPr>
          <w:rFonts w:ascii="David" w:eastAsia="Calibri" w:hAnsi="David"/>
          <w:noProof w:val="0"/>
          <w:rtl/>
        </w:rPr>
        <w:t>"</w:t>
      </w:r>
    </w:p>
    <w:p w:rsidR="00E34603" w:rsidRPr="00E34603" w:rsidRDefault="00E34603" w:rsidP="00971C84">
      <w:pPr>
        <w:spacing w:after="160" w:line="360" w:lineRule="auto"/>
        <w:ind w:left="368"/>
        <w:contextualSpacing/>
        <w:jc w:val="both"/>
        <w:rPr>
          <w:rFonts w:ascii="David" w:eastAsia="Calibri" w:hAnsi="David"/>
          <w:noProof w:val="0"/>
        </w:rPr>
      </w:pPr>
    </w:p>
    <w:p w:rsidR="00E34603" w:rsidRPr="00E34603" w:rsidRDefault="00E34603" w:rsidP="00305405">
      <w:pPr>
        <w:numPr>
          <w:ilvl w:val="0"/>
          <w:numId w:val="4"/>
        </w:numPr>
        <w:spacing w:after="160" w:line="360" w:lineRule="auto"/>
        <w:ind w:left="368"/>
        <w:contextualSpacing/>
        <w:jc w:val="both"/>
        <w:rPr>
          <w:rFonts w:ascii="David" w:eastAsia="Calibri" w:hAnsi="David"/>
          <w:noProof w:val="0"/>
          <w:rtl/>
        </w:rPr>
      </w:pPr>
      <w:r w:rsidRPr="00E34603">
        <w:rPr>
          <w:rFonts w:ascii="David" w:eastAsia="Calibri" w:hAnsi="David"/>
          <w:noProof w:val="0"/>
          <w:rtl/>
        </w:rPr>
        <w:t xml:space="preserve">האם סעיף זה נכנס בגדרי </w:t>
      </w:r>
      <w:r w:rsidRPr="00BE24BC">
        <w:rPr>
          <w:rFonts w:ascii="David" w:eastAsia="Calibri" w:hAnsi="David"/>
          <w:noProof w:val="0"/>
          <w:rtl/>
        </w:rPr>
        <w:t>הסיטואציה הראשונה</w:t>
      </w:r>
      <w:r w:rsidR="00CB20DD" w:rsidRPr="00BE24BC">
        <w:rPr>
          <w:rFonts w:ascii="David" w:eastAsia="Calibri" w:hAnsi="David" w:hint="cs"/>
          <w:noProof w:val="0"/>
          <w:rtl/>
        </w:rPr>
        <w:t xml:space="preserve"> </w:t>
      </w:r>
      <w:r w:rsidR="00CB20DD" w:rsidRPr="00E84971">
        <w:rPr>
          <w:rFonts w:ascii="David" w:eastAsia="Calibri" w:hAnsi="David" w:hint="cs"/>
          <w:noProof w:val="0"/>
          <w:rtl/>
        </w:rPr>
        <w:t>בהלכת זמיר</w:t>
      </w:r>
      <w:r w:rsidRPr="00E34603">
        <w:rPr>
          <w:rFonts w:ascii="David" w:eastAsia="Calibri" w:hAnsi="David"/>
          <w:noProof w:val="0"/>
          <w:rtl/>
        </w:rPr>
        <w:t xml:space="preserve"> האמורה לעיל- </w:t>
      </w:r>
      <w:r w:rsidR="00305405">
        <w:rPr>
          <w:rFonts w:ascii="David" w:eastAsia="Calibri" w:hAnsi="David" w:hint="cs"/>
          <w:noProof w:val="0"/>
          <w:rtl/>
        </w:rPr>
        <w:t xml:space="preserve">ומלמד כי </w:t>
      </w:r>
      <w:r w:rsidRPr="00E34603">
        <w:rPr>
          <w:rFonts w:ascii="David" w:eastAsia="Calibri" w:hAnsi="David"/>
          <w:noProof w:val="0"/>
          <w:rtl/>
        </w:rPr>
        <w:t xml:space="preserve">המורישים משאירים לעצמם זכות לשנות את הצוואה כרצונם לאחר פטירת אחד מהם- כעמדת המשיב; שמא </w:t>
      </w:r>
      <w:r w:rsidR="00305405">
        <w:rPr>
          <w:rFonts w:ascii="David" w:eastAsia="Calibri" w:hAnsi="David" w:hint="cs"/>
          <w:noProof w:val="0"/>
          <w:rtl/>
        </w:rPr>
        <w:t xml:space="preserve">הוראה זו </w:t>
      </w:r>
      <w:r w:rsidRPr="00E34603">
        <w:rPr>
          <w:rFonts w:ascii="David" w:eastAsia="Calibri" w:hAnsi="David"/>
          <w:noProof w:val="0"/>
          <w:rtl/>
        </w:rPr>
        <w:t xml:space="preserve">נכללת בגדרי </w:t>
      </w:r>
      <w:r w:rsidRPr="00BE24BC">
        <w:rPr>
          <w:rFonts w:ascii="David" w:eastAsia="Calibri" w:hAnsi="David"/>
          <w:noProof w:val="0"/>
          <w:rtl/>
        </w:rPr>
        <w:t>הסיטואציה השלישית</w:t>
      </w:r>
      <w:r w:rsidRPr="00E34603">
        <w:rPr>
          <w:rFonts w:ascii="David" w:eastAsia="Calibri" w:hAnsi="David"/>
          <w:noProof w:val="0"/>
          <w:rtl/>
        </w:rPr>
        <w:t xml:space="preserve"> – </w:t>
      </w:r>
      <w:r w:rsidR="00CB20DD">
        <w:rPr>
          <w:rFonts w:ascii="David" w:eastAsia="Calibri" w:hAnsi="David" w:hint="cs"/>
          <w:noProof w:val="0"/>
          <w:rtl/>
        </w:rPr>
        <w:t>ה</w:t>
      </w:r>
      <w:r w:rsidRPr="00E34603">
        <w:rPr>
          <w:rFonts w:ascii="David" w:eastAsia="Calibri" w:hAnsi="David"/>
          <w:noProof w:val="0"/>
          <w:rtl/>
        </w:rPr>
        <w:t>אוסרת על שינוי צוואתו של האחד לאחר מותו של האחר, אלא אך שינוי של שניהם "יחד" אפשרי - כעמדת המבקשת 1.</w:t>
      </w:r>
    </w:p>
    <w:p w:rsidR="00E34603" w:rsidRPr="00E34603" w:rsidRDefault="00E34603" w:rsidP="00971C84">
      <w:pPr>
        <w:spacing w:after="160" w:line="360" w:lineRule="auto"/>
        <w:ind w:left="368"/>
        <w:contextualSpacing/>
        <w:jc w:val="both"/>
        <w:rPr>
          <w:rFonts w:ascii="David" w:eastAsia="Calibri" w:hAnsi="David"/>
          <w:noProof w:val="0"/>
        </w:rPr>
      </w:pPr>
    </w:p>
    <w:p w:rsidR="00797625" w:rsidRDefault="00B63239" w:rsidP="00E163B2">
      <w:pPr>
        <w:numPr>
          <w:ilvl w:val="0"/>
          <w:numId w:val="4"/>
        </w:numPr>
        <w:spacing w:after="160" w:line="360" w:lineRule="auto"/>
        <w:ind w:left="368"/>
        <w:contextualSpacing/>
        <w:jc w:val="both"/>
        <w:rPr>
          <w:rFonts w:ascii="David" w:eastAsia="Calibri" w:hAnsi="David"/>
          <w:noProof w:val="0"/>
        </w:rPr>
      </w:pPr>
      <w:r w:rsidRPr="00797625">
        <w:rPr>
          <w:rFonts w:ascii="David" w:eastAsia="Calibri" w:hAnsi="David" w:hint="cs"/>
          <w:noProof w:val="0"/>
          <w:rtl/>
        </w:rPr>
        <w:t xml:space="preserve">לאחר ששקלתי את טענות הצדדים, </w:t>
      </w:r>
      <w:r w:rsidR="00797625">
        <w:rPr>
          <w:rFonts w:ascii="David" w:eastAsia="Calibri" w:hAnsi="David" w:hint="cs"/>
          <w:noProof w:val="0"/>
          <w:rtl/>
        </w:rPr>
        <w:t xml:space="preserve">מצאתי לקבל לעניין זה את עמדת </w:t>
      </w:r>
      <w:r w:rsidR="00797625" w:rsidRPr="00305405">
        <w:rPr>
          <w:rFonts w:ascii="David" w:eastAsia="Calibri" w:hAnsi="David" w:hint="cs"/>
          <w:b/>
          <w:bCs/>
          <w:noProof w:val="0"/>
          <w:rtl/>
        </w:rPr>
        <w:t>המשיב</w:t>
      </w:r>
      <w:r w:rsidR="00797625">
        <w:rPr>
          <w:rFonts w:ascii="David" w:eastAsia="Calibri" w:hAnsi="David" w:hint="cs"/>
          <w:noProof w:val="0"/>
          <w:rtl/>
        </w:rPr>
        <w:t>. להלן אבאר.</w:t>
      </w:r>
    </w:p>
    <w:p w:rsidR="00797625" w:rsidRDefault="00797625" w:rsidP="00797625">
      <w:pPr>
        <w:pStyle w:val="ae"/>
        <w:rPr>
          <w:rFonts w:ascii="David" w:eastAsia="Calibri" w:hAnsi="David"/>
          <w:noProof w:val="0"/>
          <w:rtl/>
        </w:rPr>
      </w:pPr>
    </w:p>
    <w:p w:rsidR="00B63239" w:rsidRPr="00797625" w:rsidRDefault="00B63239" w:rsidP="00305405">
      <w:pPr>
        <w:numPr>
          <w:ilvl w:val="0"/>
          <w:numId w:val="4"/>
        </w:numPr>
        <w:spacing w:after="160" w:line="360" w:lineRule="auto"/>
        <w:ind w:left="368"/>
        <w:contextualSpacing/>
        <w:jc w:val="both"/>
        <w:rPr>
          <w:rFonts w:ascii="David" w:eastAsia="Calibri" w:hAnsi="David"/>
          <w:noProof w:val="0"/>
        </w:rPr>
      </w:pPr>
      <w:r w:rsidRPr="00797625">
        <w:rPr>
          <w:rFonts w:ascii="David" w:eastAsia="Calibri" w:hAnsi="David" w:hint="cs"/>
          <w:noProof w:val="0"/>
          <w:rtl/>
        </w:rPr>
        <w:lastRenderedPageBreak/>
        <w:t xml:space="preserve">לא מצאתי בהוראות סעיף </w:t>
      </w:r>
      <w:r w:rsidR="00C70226">
        <w:rPr>
          <w:rFonts w:ascii="David" w:eastAsia="Calibri" w:hAnsi="David" w:hint="cs"/>
          <w:noProof w:val="0"/>
          <w:rtl/>
        </w:rPr>
        <w:t>11 לצוואה</w:t>
      </w:r>
      <w:r w:rsidRPr="00797625">
        <w:rPr>
          <w:rFonts w:ascii="David" w:eastAsia="Calibri" w:hAnsi="David" w:hint="cs"/>
          <w:noProof w:val="0"/>
          <w:rtl/>
        </w:rPr>
        <w:t xml:space="preserve"> משום </w:t>
      </w:r>
      <w:r w:rsidRPr="00797625">
        <w:rPr>
          <w:rFonts w:ascii="David" w:eastAsia="Calibri" w:hAnsi="David"/>
          <w:noProof w:val="0"/>
          <w:rtl/>
        </w:rPr>
        <w:t>הגבלה מפורשת או משתמעת על כוח</w:t>
      </w:r>
      <w:r w:rsidRPr="00797625">
        <w:rPr>
          <w:rFonts w:ascii="David" w:eastAsia="Calibri" w:hAnsi="David" w:hint="cs"/>
          <w:noProof w:val="0"/>
          <w:rtl/>
        </w:rPr>
        <w:t>ה</w:t>
      </w:r>
      <w:r w:rsidRPr="00797625">
        <w:rPr>
          <w:rFonts w:ascii="David" w:eastAsia="Calibri" w:hAnsi="David"/>
          <w:noProof w:val="0"/>
          <w:rtl/>
        </w:rPr>
        <w:t xml:space="preserve"> של המנוח</w:t>
      </w:r>
      <w:r w:rsidRPr="00797625">
        <w:rPr>
          <w:rFonts w:ascii="David" w:eastAsia="Calibri" w:hAnsi="David" w:hint="cs"/>
          <w:noProof w:val="0"/>
          <w:rtl/>
        </w:rPr>
        <w:t>ה</w:t>
      </w:r>
      <w:r w:rsidRPr="00797625">
        <w:rPr>
          <w:rFonts w:ascii="David" w:eastAsia="Calibri" w:hAnsi="David"/>
          <w:noProof w:val="0"/>
          <w:rtl/>
        </w:rPr>
        <w:t xml:space="preserve"> לשנות מצוואת</w:t>
      </w:r>
      <w:r w:rsidRPr="00797625">
        <w:rPr>
          <w:rFonts w:ascii="David" w:eastAsia="Calibri" w:hAnsi="David" w:hint="cs"/>
          <w:noProof w:val="0"/>
          <w:rtl/>
        </w:rPr>
        <w:t>ה</w:t>
      </w:r>
      <w:r w:rsidR="00E7671D" w:rsidRPr="00797625">
        <w:rPr>
          <w:rFonts w:ascii="David" w:eastAsia="Calibri" w:hAnsi="David"/>
          <w:noProof w:val="0"/>
          <w:rtl/>
        </w:rPr>
        <w:t>. נהפוך הוא</w:t>
      </w:r>
      <w:r w:rsidR="00E7671D" w:rsidRPr="00797625">
        <w:rPr>
          <w:rFonts w:ascii="David" w:eastAsia="Calibri" w:hAnsi="David" w:hint="cs"/>
          <w:noProof w:val="0"/>
          <w:rtl/>
        </w:rPr>
        <w:t>,</w:t>
      </w:r>
      <w:r w:rsidRPr="00797625">
        <w:rPr>
          <w:rFonts w:ascii="David" w:eastAsia="Calibri" w:hAnsi="David"/>
          <w:noProof w:val="0"/>
          <w:rtl/>
        </w:rPr>
        <w:t xml:space="preserve"> </w:t>
      </w:r>
      <w:r w:rsidR="00C70226">
        <w:rPr>
          <w:rFonts w:ascii="David" w:eastAsia="Calibri" w:hAnsi="David" w:hint="cs"/>
          <w:noProof w:val="0"/>
          <w:rtl/>
        </w:rPr>
        <w:t xml:space="preserve">סבורתני כי </w:t>
      </w:r>
      <w:r w:rsidRPr="00797625">
        <w:rPr>
          <w:rFonts w:ascii="David" w:eastAsia="Calibri" w:hAnsi="David" w:hint="cs"/>
          <w:noProof w:val="0"/>
          <w:rtl/>
        </w:rPr>
        <w:t xml:space="preserve">יש לראות בהוראת סעיף 11 הוראה </w:t>
      </w:r>
      <w:r w:rsidRPr="00797625">
        <w:rPr>
          <w:rFonts w:ascii="David" w:eastAsia="Calibri" w:hAnsi="David"/>
          <w:noProof w:val="0"/>
          <w:rtl/>
        </w:rPr>
        <w:t>מפורש</w:t>
      </w:r>
      <w:r w:rsidRPr="00797625">
        <w:rPr>
          <w:rFonts w:ascii="David" w:eastAsia="Calibri" w:hAnsi="David" w:hint="cs"/>
          <w:noProof w:val="0"/>
          <w:rtl/>
        </w:rPr>
        <w:t>ת</w:t>
      </w:r>
      <w:r w:rsidR="00E7671D" w:rsidRPr="00797625">
        <w:rPr>
          <w:rFonts w:ascii="David" w:eastAsia="Calibri" w:hAnsi="David"/>
          <w:noProof w:val="0"/>
          <w:rtl/>
        </w:rPr>
        <w:t>,</w:t>
      </w:r>
      <w:r w:rsidRPr="00797625">
        <w:rPr>
          <w:rFonts w:ascii="David" w:eastAsia="Calibri" w:hAnsi="David"/>
          <w:noProof w:val="0"/>
          <w:rtl/>
        </w:rPr>
        <w:t xml:space="preserve"> לפי</w:t>
      </w:r>
      <w:r w:rsidRPr="00797625">
        <w:rPr>
          <w:rFonts w:ascii="David" w:eastAsia="Calibri" w:hAnsi="David" w:hint="cs"/>
          <w:noProof w:val="0"/>
          <w:rtl/>
        </w:rPr>
        <w:t xml:space="preserve">ה </w:t>
      </w:r>
      <w:r w:rsidRPr="00797625">
        <w:rPr>
          <w:rFonts w:ascii="David" w:eastAsia="Calibri" w:hAnsi="David"/>
          <w:noProof w:val="0"/>
          <w:rtl/>
        </w:rPr>
        <w:t xml:space="preserve">כל אחד מהמנוחים </w:t>
      </w:r>
      <w:r w:rsidRPr="00797625">
        <w:rPr>
          <w:rFonts w:ascii="David" w:eastAsia="Calibri" w:hAnsi="David" w:hint="cs"/>
          <w:noProof w:val="0"/>
          <w:rtl/>
        </w:rPr>
        <w:t xml:space="preserve">שומר </w:t>
      </w:r>
      <w:r w:rsidRPr="00797625">
        <w:rPr>
          <w:rFonts w:ascii="David" w:eastAsia="Calibri" w:hAnsi="David"/>
          <w:noProof w:val="0"/>
          <w:rtl/>
        </w:rPr>
        <w:t xml:space="preserve">את </w:t>
      </w:r>
      <w:r w:rsidRPr="00797625">
        <w:rPr>
          <w:rFonts w:ascii="David" w:eastAsia="Calibri" w:hAnsi="David" w:hint="cs"/>
          <w:noProof w:val="0"/>
          <w:rtl/>
        </w:rPr>
        <w:t xml:space="preserve">זכותו </w:t>
      </w:r>
      <w:r w:rsidRPr="00797625">
        <w:rPr>
          <w:rFonts w:ascii="David" w:eastAsia="Calibri" w:hAnsi="David"/>
          <w:noProof w:val="0"/>
          <w:rtl/>
        </w:rPr>
        <w:t>לבטל או לשנות בכל עת וזמן את צוואתו</w:t>
      </w:r>
      <w:r w:rsidRPr="00797625">
        <w:rPr>
          <w:rFonts w:ascii="David" w:eastAsia="Calibri" w:hAnsi="David" w:hint="cs"/>
          <w:noProof w:val="0"/>
          <w:rtl/>
        </w:rPr>
        <w:t xml:space="preserve">, וניתן ללמוד מכך על </w:t>
      </w:r>
      <w:r w:rsidRPr="00797625">
        <w:rPr>
          <w:rFonts w:ascii="David" w:eastAsia="Calibri" w:hAnsi="David"/>
          <w:noProof w:val="0"/>
          <w:rtl/>
        </w:rPr>
        <w:t xml:space="preserve">אומד דעת המנוחים וידיעתם שנשמרה </w:t>
      </w:r>
      <w:r w:rsidRPr="00797625">
        <w:rPr>
          <w:rFonts w:ascii="David" w:eastAsia="Calibri" w:hAnsi="David" w:hint="cs"/>
          <w:noProof w:val="0"/>
          <w:rtl/>
        </w:rPr>
        <w:t xml:space="preserve">להם </w:t>
      </w:r>
      <w:r w:rsidRPr="00797625">
        <w:rPr>
          <w:rFonts w:ascii="David" w:eastAsia="Calibri" w:hAnsi="David"/>
          <w:noProof w:val="0"/>
          <w:rtl/>
        </w:rPr>
        <w:t>הזכות לשנות או לבטל את הצוואה, באופן חד צדדי, וללא מגבלה</w:t>
      </w:r>
      <w:r w:rsidR="00480BB0" w:rsidRPr="00797625">
        <w:rPr>
          <w:rFonts w:ascii="David" w:eastAsia="Calibri" w:hAnsi="David" w:hint="cs"/>
          <w:noProof w:val="0"/>
          <w:rtl/>
        </w:rPr>
        <w:t>, בהתאם לאפשרות הראשונה בפרשת זמיר</w:t>
      </w:r>
      <w:r w:rsidRPr="00797625">
        <w:rPr>
          <w:rFonts w:ascii="David" w:eastAsia="Calibri" w:hAnsi="David"/>
          <w:noProof w:val="0"/>
          <w:rtl/>
        </w:rPr>
        <w:t xml:space="preserve">. </w:t>
      </w:r>
      <w:r w:rsidR="00480BB0" w:rsidRPr="00797625">
        <w:rPr>
          <w:rFonts w:ascii="David" w:eastAsia="Calibri" w:hAnsi="David" w:hint="cs"/>
          <w:noProof w:val="0"/>
          <w:rtl/>
        </w:rPr>
        <w:t xml:space="preserve">(השוו: </w:t>
      </w:r>
      <w:r w:rsidR="00480BB0" w:rsidRPr="00797625">
        <w:rPr>
          <w:rFonts w:ascii="David" w:eastAsia="Calibri" w:hAnsi="David"/>
          <w:noProof w:val="0"/>
          <w:rtl/>
        </w:rPr>
        <w:t xml:space="preserve">תע (ת"א) 45887-11-21 </w:t>
      </w:r>
      <w:r w:rsidR="00480BB0" w:rsidRPr="00797625">
        <w:rPr>
          <w:rFonts w:ascii="David" w:eastAsia="Calibri" w:hAnsi="David"/>
          <w:b/>
          <w:bCs/>
          <w:noProof w:val="0"/>
          <w:rtl/>
        </w:rPr>
        <w:t>י.ר נ' ע.ר.י</w:t>
      </w:r>
      <w:r w:rsidR="00480BB0" w:rsidRPr="00797625">
        <w:rPr>
          <w:rFonts w:ascii="David" w:eastAsia="Calibri" w:hAnsi="David" w:hint="cs"/>
          <w:noProof w:val="0"/>
          <w:rtl/>
        </w:rPr>
        <w:t xml:space="preserve"> (7.5.23)).</w:t>
      </w:r>
    </w:p>
    <w:p w:rsidR="00480BB0" w:rsidRPr="00BE24BC" w:rsidRDefault="00480BB0" w:rsidP="00971C84">
      <w:pPr>
        <w:spacing w:after="160" w:line="360" w:lineRule="auto"/>
        <w:ind w:left="368"/>
        <w:contextualSpacing/>
        <w:jc w:val="both"/>
        <w:rPr>
          <w:rFonts w:ascii="David" w:eastAsia="Calibri" w:hAnsi="David"/>
          <w:noProof w:val="0"/>
          <w:rtl/>
        </w:rPr>
      </w:pPr>
    </w:p>
    <w:p w:rsidR="00E34603" w:rsidRPr="00E34603" w:rsidRDefault="00E7671D" w:rsidP="00BE24BC">
      <w:pPr>
        <w:numPr>
          <w:ilvl w:val="0"/>
          <w:numId w:val="4"/>
        </w:numPr>
        <w:spacing w:after="160" w:line="360" w:lineRule="auto"/>
        <w:ind w:left="368"/>
        <w:contextualSpacing/>
        <w:jc w:val="both"/>
        <w:rPr>
          <w:rFonts w:ascii="David" w:eastAsia="Calibri" w:hAnsi="David"/>
          <w:noProof w:val="0"/>
        </w:rPr>
      </w:pPr>
      <w:r>
        <w:rPr>
          <w:rFonts w:ascii="David" w:eastAsia="Calibri" w:hAnsi="David" w:hint="cs"/>
          <w:noProof w:val="0"/>
          <w:rtl/>
        </w:rPr>
        <w:t>פרשנותם של</w:t>
      </w:r>
      <w:r w:rsidRPr="00E34603">
        <w:rPr>
          <w:rFonts w:ascii="David" w:eastAsia="Calibri" w:hAnsi="David"/>
          <w:noProof w:val="0"/>
          <w:rtl/>
        </w:rPr>
        <w:t xml:space="preserve"> </w:t>
      </w:r>
      <w:r w:rsidR="00E34603" w:rsidRPr="00E34603">
        <w:rPr>
          <w:rFonts w:ascii="David" w:eastAsia="Calibri" w:hAnsi="David"/>
          <w:noProof w:val="0"/>
          <w:rtl/>
        </w:rPr>
        <w:t>המבקשת 1 ואף</w:t>
      </w:r>
      <w:r>
        <w:rPr>
          <w:rFonts w:ascii="David" w:eastAsia="Calibri" w:hAnsi="David" w:hint="cs"/>
          <w:noProof w:val="0"/>
          <w:rtl/>
        </w:rPr>
        <w:t xml:space="preserve"> של</w:t>
      </w:r>
      <w:r w:rsidR="00E34603" w:rsidRPr="00E34603">
        <w:rPr>
          <w:rFonts w:ascii="David" w:eastAsia="Calibri" w:hAnsi="David"/>
          <w:noProof w:val="0"/>
          <w:rtl/>
        </w:rPr>
        <w:t xml:space="preserve"> ב"כ היועמ"ש </w:t>
      </w:r>
      <w:r>
        <w:rPr>
          <w:rFonts w:ascii="David" w:eastAsia="Calibri" w:hAnsi="David" w:hint="cs"/>
          <w:noProof w:val="0"/>
          <w:rtl/>
        </w:rPr>
        <w:t>להוראת</w:t>
      </w:r>
      <w:r w:rsidR="00E34603" w:rsidRPr="00E34603">
        <w:rPr>
          <w:rFonts w:ascii="David" w:eastAsia="Calibri" w:hAnsi="David"/>
          <w:noProof w:val="0"/>
          <w:rtl/>
        </w:rPr>
        <w:t xml:space="preserve"> סעיף 11 </w:t>
      </w:r>
      <w:r>
        <w:rPr>
          <w:rFonts w:ascii="David" w:eastAsia="Calibri" w:hAnsi="David" w:hint="cs"/>
          <w:noProof w:val="0"/>
          <w:rtl/>
        </w:rPr>
        <w:t xml:space="preserve">כמגביל את שינוי הצוואה, מבוססת על </w:t>
      </w:r>
      <w:r w:rsidR="00E34603" w:rsidRPr="00797625">
        <w:rPr>
          <w:rFonts w:ascii="David" w:eastAsia="Calibri" w:hAnsi="David"/>
          <w:b/>
          <w:bCs/>
          <w:noProof w:val="0"/>
          <w:rtl/>
        </w:rPr>
        <w:t>לשון רבים</w:t>
      </w:r>
      <w:r w:rsidR="00E34603" w:rsidRPr="00E34603">
        <w:rPr>
          <w:rFonts w:ascii="David" w:eastAsia="Calibri" w:hAnsi="David"/>
          <w:noProof w:val="0"/>
          <w:rtl/>
        </w:rPr>
        <w:t xml:space="preserve"> בה </w:t>
      </w:r>
      <w:r w:rsidR="00CB20DD">
        <w:rPr>
          <w:rFonts w:ascii="David" w:eastAsia="Calibri" w:hAnsi="David" w:hint="cs"/>
          <w:noProof w:val="0"/>
          <w:rtl/>
        </w:rPr>
        <w:t xml:space="preserve">נוקט </w:t>
      </w:r>
      <w:r w:rsidR="00E34603" w:rsidRPr="00E34603">
        <w:rPr>
          <w:rFonts w:ascii="David" w:eastAsia="Calibri" w:hAnsi="David"/>
          <w:noProof w:val="0"/>
          <w:rtl/>
        </w:rPr>
        <w:t xml:space="preserve">הסעיף </w:t>
      </w:r>
      <w:r w:rsidR="00CB20DD">
        <w:rPr>
          <w:rFonts w:ascii="David" w:eastAsia="Calibri" w:hAnsi="David" w:hint="cs"/>
          <w:noProof w:val="0"/>
          <w:rtl/>
        </w:rPr>
        <w:t>ו</w:t>
      </w:r>
      <w:r w:rsidR="00E34603" w:rsidRPr="00E34603">
        <w:rPr>
          <w:rFonts w:ascii="David" w:eastAsia="Calibri" w:hAnsi="David"/>
          <w:noProof w:val="0"/>
          <w:rtl/>
        </w:rPr>
        <w:t xml:space="preserve">בנוסף </w:t>
      </w:r>
      <w:r w:rsidR="00CB20DD">
        <w:rPr>
          <w:rFonts w:ascii="David" w:eastAsia="Calibri" w:hAnsi="David" w:hint="cs"/>
          <w:noProof w:val="0"/>
          <w:rtl/>
        </w:rPr>
        <w:t xml:space="preserve">על </w:t>
      </w:r>
      <w:r w:rsidR="00E34603" w:rsidRPr="00797625">
        <w:rPr>
          <w:rFonts w:ascii="David" w:eastAsia="Calibri" w:hAnsi="David"/>
          <w:b/>
          <w:bCs/>
          <w:noProof w:val="0"/>
          <w:rtl/>
        </w:rPr>
        <w:t>אומד הדעת המשותף</w:t>
      </w:r>
      <w:r w:rsidR="00E34603" w:rsidRPr="00E34603">
        <w:rPr>
          <w:rFonts w:ascii="David" w:eastAsia="Calibri" w:hAnsi="David"/>
          <w:noProof w:val="0"/>
          <w:rtl/>
        </w:rPr>
        <w:t xml:space="preserve"> </w:t>
      </w:r>
      <w:r>
        <w:rPr>
          <w:rFonts w:ascii="David" w:eastAsia="Calibri" w:hAnsi="David" w:hint="cs"/>
          <w:noProof w:val="0"/>
          <w:rtl/>
        </w:rPr>
        <w:t xml:space="preserve">של המנוחים, </w:t>
      </w:r>
      <w:r w:rsidR="00E34603" w:rsidRPr="00E34603">
        <w:rPr>
          <w:rFonts w:ascii="David" w:eastAsia="Calibri" w:hAnsi="David"/>
          <w:noProof w:val="0"/>
          <w:rtl/>
        </w:rPr>
        <w:t>הנלמד</w:t>
      </w:r>
      <w:r w:rsidR="003B7086">
        <w:rPr>
          <w:rFonts w:ascii="David" w:eastAsia="Calibri" w:hAnsi="David" w:hint="cs"/>
          <w:noProof w:val="0"/>
          <w:rtl/>
        </w:rPr>
        <w:t xml:space="preserve"> לטענתם,</w:t>
      </w:r>
      <w:r w:rsidR="00D63426">
        <w:rPr>
          <w:rFonts w:ascii="David" w:eastAsia="Calibri" w:hAnsi="David"/>
          <w:noProof w:val="0"/>
          <w:rtl/>
        </w:rPr>
        <w:t xml:space="preserve"> מהוראות הצוואה כולה</w:t>
      </w:r>
      <w:r w:rsidR="00E34603" w:rsidRPr="00E34603">
        <w:rPr>
          <w:rFonts w:ascii="David" w:eastAsia="Calibri" w:hAnsi="David"/>
          <w:noProof w:val="0"/>
          <w:rtl/>
        </w:rPr>
        <w:t>.</w:t>
      </w:r>
    </w:p>
    <w:p w:rsidR="00E34603" w:rsidRPr="00E34603" w:rsidRDefault="00E34603" w:rsidP="00971C84">
      <w:pPr>
        <w:spacing w:after="160" w:line="360" w:lineRule="auto"/>
        <w:ind w:left="368"/>
        <w:contextualSpacing/>
        <w:jc w:val="both"/>
        <w:rPr>
          <w:rFonts w:ascii="David" w:eastAsia="Calibri" w:hAnsi="David"/>
          <w:noProof w:val="0"/>
        </w:rPr>
      </w:pPr>
    </w:p>
    <w:p w:rsidR="00E34603" w:rsidRPr="00E34603" w:rsidRDefault="00E34603" w:rsidP="00C70226">
      <w:pPr>
        <w:numPr>
          <w:ilvl w:val="0"/>
          <w:numId w:val="4"/>
        </w:numPr>
        <w:spacing w:after="160" w:line="360" w:lineRule="auto"/>
        <w:ind w:left="368"/>
        <w:contextualSpacing/>
        <w:jc w:val="both"/>
        <w:rPr>
          <w:rFonts w:ascii="David" w:eastAsia="Calibri" w:hAnsi="David"/>
          <w:noProof w:val="0"/>
          <w:rtl/>
        </w:rPr>
      </w:pPr>
      <w:r w:rsidRPr="00E34603">
        <w:rPr>
          <w:rFonts w:ascii="David" w:eastAsia="Calibri" w:hAnsi="David"/>
          <w:noProof w:val="0"/>
          <w:rtl/>
        </w:rPr>
        <w:t xml:space="preserve">בהקשר זה הפנתה המבקשת בכתבי טענותיה לפסק הדין שניתן בת"ע (משפחה י-ם) 41295-09-16 </w:t>
      </w:r>
      <w:r w:rsidRPr="00797625">
        <w:rPr>
          <w:rFonts w:ascii="David" w:eastAsia="Calibri" w:hAnsi="David"/>
          <w:b/>
          <w:bCs/>
          <w:noProof w:val="0"/>
          <w:rtl/>
        </w:rPr>
        <w:t>א.א נ' י.א (המנוח)</w:t>
      </w:r>
      <w:r w:rsidRPr="00E34603">
        <w:rPr>
          <w:rFonts w:ascii="David" w:eastAsia="Calibri" w:hAnsi="David"/>
          <w:noProof w:val="0"/>
          <w:rtl/>
        </w:rPr>
        <w:t xml:space="preserve"> (15.08.2018)‏‏, בו למד חברי כב' השופט פ</w:t>
      </w:r>
      <w:r w:rsidR="00C70226">
        <w:rPr>
          <w:rFonts w:ascii="David" w:eastAsia="Calibri" w:hAnsi="David" w:hint="cs"/>
          <w:noProof w:val="0"/>
          <w:rtl/>
        </w:rPr>
        <w:t>'</w:t>
      </w:r>
      <w:r w:rsidRPr="00E34603">
        <w:rPr>
          <w:rFonts w:ascii="David" w:eastAsia="Calibri" w:hAnsi="David"/>
          <w:noProof w:val="0"/>
          <w:rtl/>
        </w:rPr>
        <w:t xml:space="preserve"> גורודצקי, מהוראת ציווי דומה שנוסחה בלשון רבים, על </w:t>
      </w:r>
      <w:r w:rsidRPr="00797625">
        <w:rPr>
          <w:rFonts w:ascii="David" w:eastAsia="Calibri" w:hAnsi="David"/>
          <w:b/>
          <w:bCs/>
          <w:noProof w:val="0"/>
          <w:rtl/>
        </w:rPr>
        <w:t>הסתמכות מוגברת</w:t>
      </w:r>
      <w:r w:rsidR="00E41431">
        <w:rPr>
          <w:rFonts w:ascii="David" w:eastAsia="Calibri" w:hAnsi="David"/>
          <w:noProof w:val="0"/>
          <w:rtl/>
        </w:rPr>
        <w:t xml:space="preserve"> של המצווים, וקבע</w:t>
      </w:r>
      <w:r w:rsidRPr="00E34603">
        <w:rPr>
          <w:rFonts w:ascii="David" w:eastAsia="Calibri" w:hAnsi="David"/>
          <w:noProof w:val="0"/>
          <w:rtl/>
        </w:rPr>
        <w:t xml:space="preserve">: </w:t>
      </w:r>
      <w:r w:rsidR="00AB0AD0">
        <w:rPr>
          <w:rFonts w:ascii="David" w:eastAsia="Calibri" w:hAnsi="David" w:hint="cs"/>
          <w:noProof w:val="0"/>
          <w:rtl/>
        </w:rPr>
        <w:t>"...</w:t>
      </w:r>
      <w:r w:rsidRPr="00797625">
        <w:rPr>
          <w:rFonts w:ascii="David" w:eastAsia="Calibri" w:hAnsi="David"/>
          <w:b/>
          <w:bCs/>
          <w:noProof w:val="0"/>
          <w:rtl/>
        </w:rPr>
        <w:t xml:space="preserve">בס' 8 לצוואה ההדדית קבעו המנוחים כי: "צוואתנו זו הינה האחרונה ותעמוד בתקפה כל עוד לא שונתה ו/או בוטלה ו/או הוחלפה על ידינו" ... </w:t>
      </w:r>
      <w:r w:rsidRPr="00AB0AD0">
        <w:rPr>
          <w:rFonts w:ascii="David" w:eastAsia="Calibri" w:hAnsi="David"/>
          <w:b/>
          <w:bCs/>
          <w:noProof w:val="0"/>
          <w:u w:val="single"/>
          <w:rtl/>
        </w:rPr>
        <w:t>המנוחים בחרו להשתמש בלשון רבים והם קבעו כי שינוי/ביטול/החלפה של הצוואה ייעשה על ידי שניהם ועל ידי שניהם בלבד. המשמעות של קביעה זו הינה כי אף מצווה אינו רשאי לבטל את הצוואה באופן חד צדדי.</w:t>
      </w:r>
      <w:r w:rsidRPr="00797625">
        <w:rPr>
          <w:rFonts w:ascii="David" w:eastAsia="Calibri" w:hAnsi="David"/>
          <w:b/>
          <w:bCs/>
          <w:noProof w:val="0"/>
          <w:rtl/>
        </w:rPr>
        <w:t xml:space="preserve"> עוד ניתן ללמוד מקביעה זו כי כל שינוי/ביטול/החלפה של הצוואה ייעשה בחיי המנוחים (שכן ביטול על ידי שני המנוחים יחד, יכול להיעשות בעודם שניהם בחיים) וכי לא יהיה תוקף לביטול לאחר מות אחד מהם. לפיכך, "הצמדות" ללשון הצוואה – ואיש לא מנע מהמנוחים "לוותר" על סעיף זה או לנסחו בדרך שונה – מובילה למסקנה על פיה לביטול הצוואה ההדדית, לאחר מות אחד המנוחים, אין תוקף</w:t>
      </w:r>
      <w:r w:rsidRPr="00E34603">
        <w:rPr>
          <w:rFonts w:ascii="David" w:eastAsia="Calibri" w:hAnsi="David"/>
          <w:noProof w:val="0"/>
          <w:rtl/>
        </w:rPr>
        <w:t>." (ההדגשה אינה במקור – ה.ג.).</w:t>
      </w:r>
    </w:p>
    <w:p w:rsidR="00E34603" w:rsidRPr="00E34603" w:rsidRDefault="00E34603" w:rsidP="00971C84">
      <w:pPr>
        <w:spacing w:after="160" w:line="360" w:lineRule="auto"/>
        <w:ind w:left="368"/>
        <w:contextualSpacing/>
        <w:jc w:val="both"/>
        <w:rPr>
          <w:rFonts w:ascii="David" w:eastAsia="Calibri" w:hAnsi="David"/>
          <w:noProof w:val="0"/>
        </w:rPr>
      </w:pPr>
    </w:p>
    <w:p w:rsidR="00E34603" w:rsidRPr="00E34603" w:rsidRDefault="00305405" w:rsidP="00305405">
      <w:pPr>
        <w:numPr>
          <w:ilvl w:val="0"/>
          <w:numId w:val="4"/>
        </w:numPr>
        <w:spacing w:after="160" w:line="360" w:lineRule="auto"/>
        <w:ind w:left="368"/>
        <w:contextualSpacing/>
        <w:jc w:val="both"/>
        <w:rPr>
          <w:rFonts w:ascii="David" w:eastAsia="Calibri" w:hAnsi="David"/>
          <w:noProof w:val="0"/>
          <w:rtl/>
        </w:rPr>
      </w:pPr>
      <w:r>
        <w:rPr>
          <w:rFonts w:ascii="David" w:eastAsia="Calibri" w:hAnsi="David" w:hint="cs"/>
          <w:noProof w:val="0"/>
          <w:rtl/>
        </w:rPr>
        <w:t>אלא מאי,</w:t>
      </w:r>
      <w:r w:rsidR="00E34603" w:rsidRPr="00E34603">
        <w:rPr>
          <w:rFonts w:ascii="David" w:eastAsia="Calibri" w:hAnsi="David"/>
          <w:noProof w:val="0"/>
          <w:rtl/>
        </w:rPr>
        <w:t xml:space="preserve"> במקרה שנידון בפני </w:t>
      </w:r>
      <w:r>
        <w:rPr>
          <w:rFonts w:ascii="David" w:eastAsia="Calibri" w:hAnsi="David" w:hint="cs"/>
          <w:noProof w:val="0"/>
          <w:rtl/>
        </w:rPr>
        <w:t xml:space="preserve">חברי </w:t>
      </w:r>
      <w:r w:rsidR="00E34603" w:rsidRPr="00E34603">
        <w:rPr>
          <w:rFonts w:ascii="David" w:eastAsia="Calibri" w:hAnsi="David"/>
          <w:noProof w:val="0"/>
          <w:rtl/>
        </w:rPr>
        <w:t>כב' הש</w:t>
      </w:r>
      <w:r w:rsidR="00C70226">
        <w:rPr>
          <w:rFonts w:ascii="David" w:eastAsia="Calibri" w:hAnsi="David" w:hint="cs"/>
          <w:noProof w:val="0"/>
          <w:rtl/>
        </w:rPr>
        <w:t>ופט פ'</w:t>
      </w:r>
      <w:r w:rsidR="00E34603" w:rsidRPr="00E34603">
        <w:rPr>
          <w:rFonts w:ascii="David" w:eastAsia="Calibri" w:hAnsi="David"/>
          <w:noProof w:val="0"/>
          <w:rtl/>
        </w:rPr>
        <w:t xml:space="preserve"> גורודצקי, היה מדובר </w:t>
      </w:r>
      <w:r w:rsidR="00E34603" w:rsidRPr="00E7671D">
        <w:rPr>
          <w:rFonts w:ascii="David" w:eastAsia="Calibri" w:hAnsi="David"/>
          <w:noProof w:val="0"/>
          <w:rtl/>
        </w:rPr>
        <w:t>בצוואה שנערכה</w:t>
      </w:r>
      <w:r w:rsidR="00E34603" w:rsidRPr="00BE24BC">
        <w:rPr>
          <w:rFonts w:ascii="David" w:eastAsia="Calibri" w:hAnsi="David"/>
          <w:noProof w:val="0"/>
          <w:rtl/>
        </w:rPr>
        <w:t xml:space="preserve"> </w:t>
      </w:r>
      <w:r w:rsidR="00E34603" w:rsidRPr="00AB0AD0">
        <w:rPr>
          <w:rFonts w:ascii="David" w:eastAsia="Calibri" w:hAnsi="David"/>
          <w:b/>
          <w:bCs/>
          <w:noProof w:val="0"/>
          <w:rtl/>
        </w:rPr>
        <w:t>לאחר</w:t>
      </w:r>
      <w:r w:rsidR="00E34603" w:rsidRPr="00BE24BC">
        <w:rPr>
          <w:rFonts w:ascii="David" w:eastAsia="Calibri" w:hAnsi="David"/>
          <w:noProof w:val="0"/>
          <w:rtl/>
        </w:rPr>
        <w:t xml:space="preserve"> </w:t>
      </w:r>
      <w:r w:rsidR="00E34603" w:rsidRPr="00E7671D">
        <w:rPr>
          <w:rFonts w:ascii="David" w:eastAsia="Calibri" w:hAnsi="David"/>
          <w:noProof w:val="0"/>
          <w:rtl/>
        </w:rPr>
        <w:t>תיקון מס' 12</w:t>
      </w:r>
      <w:r w:rsidR="00E34603" w:rsidRPr="00BE24BC">
        <w:rPr>
          <w:rFonts w:ascii="David" w:eastAsia="Calibri" w:hAnsi="David"/>
          <w:noProof w:val="0"/>
          <w:rtl/>
        </w:rPr>
        <w:t>,</w:t>
      </w:r>
      <w:r w:rsidR="00E34603" w:rsidRPr="00E34603">
        <w:rPr>
          <w:rFonts w:ascii="David" w:eastAsia="Calibri" w:hAnsi="David"/>
          <w:noProof w:val="0"/>
          <w:rtl/>
        </w:rPr>
        <w:t xml:space="preserve"> ומשכך היה מקום לפרשנות המתיישבת עם הדין החל עליה באותה עת ואשר לפי סעיף </w:t>
      </w:r>
      <w:r w:rsidR="006B28B5">
        <w:rPr>
          <w:rFonts w:ascii="David" w:eastAsia="Calibri" w:hAnsi="David"/>
          <w:noProof w:val="0"/>
          <w:rtl/>
        </w:rPr>
        <w:t>8א</w:t>
      </w:r>
      <w:r w:rsidR="00E34603" w:rsidRPr="00E34603">
        <w:rPr>
          <w:rFonts w:ascii="David" w:eastAsia="Calibri" w:hAnsi="David"/>
          <w:noProof w:val="0"/>
          <w:rtl/>
        </w:rPr>
        <w:t xml:space="preserve"> לחוק מעניק תוקף לעקרון ההסתמכות אשר גובר על עקרון החופש לצוות בצוואה הדדית, ומגביל את האפשרות לשנותה או לבטלה לאחר פטירת אחד מבני הזוג, בבחינת הסדר ספציפי לעומת "חופש הציווי" הכללי הקבוע כעקרון יסוד בחוק הירושה; לפיכך, אינני סבורה כי ניתן להקיש מ</w:t>
      </w:r>
      <w:r w:rsidR="00027B65">
        <w:rPr>
          <w:rFonts w:ascii="David" w:eastAsia="Calibri" w:hAnsi="David" w:hint="cs"/>
          <w:noProof w:val="0"/>
          <w:rtl/>
        </w:rPr>
        <w:t>ה</w:t>
      </w:r>
      <w:r w:rsidR="00E34603" w:rsidRPr="00E34603">
        <w:rPr>
          <w:rFonts w:ascii="David" w:eastAsia="Calibri" w:hAnsi="David"/>
          <w:noProof w:val="0"/>
          <w:rtl/>
        </w:rPr>
        <w:t xml:space="preserve">פרשנות </w:t>
      </w:r>
      <w:r w:rsidR="00C70226">
        <w:rPr>
          <w:rFonts w:ascii="David" w:eastAsia="Calibri" w:hAnsi="David" w:hint="cs"/>
          <w:noProof w:val="0"/>
          <w:rtl/>
        </w:rPr>
        <w:t xml:space="preserve">שהעניק </w:t>
      </w:r>
      <w:r w:rsidR="00E34603" w:rsidRPr="00E34603">
        <w:rPr>
          <w:rFonts w:ascii="David" w:eastAsia="Calibri" w:hAnsi="David"/>
          <w:noProof w:val="0"/>
          <w:rtl/>
        </w:rPr>
        <w:t>כב' השופט פ</w:t>
      </w:r>
      <w:r w:rsidR="00C70226">
        <w:rPr>
          <w:rFonts w:ascii="David" w:eastAsia="Calibri" w:hAnsi="David" w:hint="cs"/>
          <w:noProof w:val="0"/>
          <w:rtl/>
        </w:rPr>
        <w:t>'</w:t>
      </w:r>
      <w:r w:rsidR="00E34603" w:rsidRPr="00E34603">
        <w:rPr>
          <w:rFonts w:ascii="David" w:eastAsia="Calibri" w:hAnsi="David"/>
          <w:noProof w:val="0"/>
          <w:rtl/>
        </w:rPr>
        <w:t xml:space="preserve"> גורודצקי </w:t>
      </w:r>
      <w:r w:rsidR="00C70226">
        <w:rPr>
          <w:rFonts w:ascii="David" w:eastAsia="Calibri" w:hAnsi="David" w:hint="cs"/>
          <w:noProof w:val="0"/>
          <w:rtl/>
        </w:rPr>
        <w:t xml:space="preserve">בפסק דינו </w:t>
      </w:r>
      <w:r w:rsidR="00E34603" w:rsidRPr="00E34603">
        <w:rPr>
          <w:rFonts w:ascii="David" w:eastAsia="Calibri" w:hAnsi="David"/>
          <w:noProof w:val="0"/>
          <w:rtl/>
        </w:rPr>
        <w:t>לעניינינו אנו</w:t>
      </w:r>
      <w:r w:rsidR="00C70226">
        <w:rPr>
          <w:rFonts w:ascii="David" w:eastAsia="Calibri" w:hAnsi="David" w:hint="cs"/>
          <w:noProof w:val="0"/>
          <w:rtl/>
        </w:rPr>
        <w:t xml:space="preserve"> על סמך לשון הרבים</w:t>
      </w:r>
      <w:r>
        <w:rPr>
          <w:rFonts w:ascii="David" w:eastAsia="Calibri" w:hAnsi="David" w:hint="cs"/>
          <w:noProof w:val="0"/>
          <w:rtl/>
        </w:rPr>
        <w:t xml:space="preserve"> בה נוסח הסעיף</w:t>
      </w:r>
      <w:r w:rsidR="00E34603" w:rsidRPr="00E34603">
        <w:rPr>
          <w:rFonts w:ascii="David" w:eastAsia="Calibri" w:hAnsi="David"/>
          <w:noProof w:val="0"/>
          <w:rtl/>
        </w:rPr>
        <w:t>.</w:t>
      </w:r>
    </w:p>
    <w:p w:rsidR="00E34603" w:rsidRPr="00E34603" w:rsidRDefault="00E34603" w:rsidP="00971C84">
      <w:pPr>
        <w:spacing w:after="160" w:line="360" w:lineRule="auto"/>
        <w:ind w:left="368"/>
        <w:contextualSpacing/>
        <w:jc w:val="both"/>
        <w:rPr>
          <w:rFonts w:ascii="David" w:eastAsia="Calibri" w:hAnsi="David"/>
          <w:noProof w:val="0"/>
        </w:rPr>
      </w:pPr>
    </w:p>
    <w:p w:rsidR="00AB0AD0" w:rsidRDefault="00E7671D" w:rsidP="00305405">
      <w:pPr>
        <w:numPr>
          <w:ilvl w:val="0"/>
          <w:numId w:val="4"/>
        </w:numPr>
        <w:spacing w:after="160" w:line="360" w:lineRule="auto"/>
        <w:ind w:left="368"/>
        <w:contextualSpacing/>
        <w:jc w:val="both"/>
        <w:rPr>
          <w:rFonts w:ascii="David" w:eastAsia="Calibri" w:hAnsi="David"/>
          <w:noProof w:val="0"/>
        </w:rPr>
      </w:pPr>
      <w:r>
        <w:rPr>
          <w:rFonts w:ascii="David" w:eastAsia="Calibri" w:hAnsi="David" w:hint="cs"/>
          <w:noProof w:val="0"/>
          <w:rtl/>
        </w:rPr>
        <w:t>יתרה מזאת</w:t>
      </w:r>
      <w:r w:rsidR="003B7086">
        <w:rPr>
          <w:rFonts w:ascii="David" w:eastAsia="Calibri" w:hAnsi="David" w:hint="cs"/>
          <w:noProof w:val="0"/>
          <w:rtl/>
        </w:rPr>
        <w:t>,</w:t>
      </w:r>
      <w:r w:rsidR="003B7086" w:rsidRPr="00E34603">
        <w:rPr>
          <w:rFonts w:ascii="David" w:eastAsia="Calibri" w:hAnsi="David"/>
          <w:noProof w:val="0"/>
          <w:rtl/>
        </w:rPr>
        <w:t xml:space="preserve"> </w:t>
      </w:r>
      <w:r>
        <w:rPr>
          <w:rFonts w:ascii="David" w:eastAsia="Calibri" w:hAnsi="David" w:hint="cs"/>
          <w:noProof w:val="0"/>
          <w:rtl/>
        </w:rPr>
        <w:t xml:space="preserve">הרי </w:t>
      </w:r>
      <w:r w:rsidR="00E34603" w:rsidRPr="00E34603">
        <w:rPr>
          <w:rFonts w:ascii="David" w:eastAsia="Calibri" w:hAnsi="David"/>
          <w:noProof w:val="0"/>
          <w:rtl/>
        </w:rPr>
        <w:t>בנוסח הצוואה ההדדית שנידונה בפני כב' השופט גורודצקי לא הופיע הביטוי "</w:t>
      </w:r>
      <w:r w:rsidR="00E34603" w:rsidRPr="00AB0AD0">
        <w:rPr>
          <w:rFonts w:ascii="David" w:eastAsia="Calibri" w:hAnsi="David"/>
          <w:b/>
          <w:bCs/>
          <w:noProof w:val="0"/>
          <w:rtl/>
        </w:rPr>
        <w:t>בכל עת שנרצה</w:t>
      </w:r>
      <w:r w:rsidR="00E34603" w:rsidRPr="00E34603">
        <w:rPr>
          <w:rFonts w:ascii="David" w:eastAsia="Calibri" w:hAnsi="David"/>
          <w:noProof w:val="0"/>
          <w:rtl/>
        </w:rPr>
        <w:t>", המופיע בנוסח של סעיף 11 לצוואה ההדדית הנידונה ב</w:t>
      </w:r>
      <w:r w:rsidR="00305405">
        <w:rPr>
          <w:rFonts w:ascii="David" w:eastAsia="Calibri" w:hAnsi="David" w:hint="cs"/>
          <w:noProof w:val="0"/>
          <w:rtl/>
        </w:rPr>
        <w:t>ענייננו.</w:t>
      </w:r>
    </w:p>
    <w:p w:rsidR="00AB0AD0" w:rsidRDefault="00AB0AD0" w:rsidP="00AB0AD0">
      <w:pPr>
        <w:pStyle w:val="ae"/>
        <w:rPr>
          <w:rFonts w:ascii="David" w:eastAsia="Calibri" w:hAnsi="David"/>
          <w:noProof w:val="0"/>
          <w:rtl/>
        </w:rPr>
      </w:pPr>
    </w:p>
    <w:p w:rsidR="00AB0AD0" w:rsidRDefault="00E34603" w:rsidP="00305405">
      <w:pPr>
        <w:numPr>
          <w:ilvl w:val="0"/>
          <w:numId w:val="4"/>
        </w:numPr>
        <w:spacing w:after="160" w:line="360" w:lineRule="auto"/>
        <w:ind w:left="368" w:hanging="510"/>
        <w:contextualSpacing/>
        <w:jc w:val="both"/>
        <w:rPr>
          <w:rFonts w:ascii="David" w:eastAsia="Calibri" w:hAnsi="David"/>
          <w:noProof w:val="0"/>
        </w:rPr>
      </w:pPr>
      <w:r w:rsidRPr="00AB0AD0">
        <w:rPr>
          <w:rFonts w:ascii="David" w:eastAsia="Calibri" w:hAnsi="David"/>
          <w:noProof w:val="0"/>
          <w:rtl/>
        </w:rPr>
        <w:t xml:space="preserve">בפרשת </w:t>
      </w:r>
      <w:r w:rsidRPr="00027B65">
        <w:rPr>
          <w:rFonts w:ascii="David" w:eastAsia="Calibri" w:hAnsi="David"/>
          <w:noProof w:val="0"/>
          <w:rtl/>
        </w:rPr>
        <w:t>מלמד</w:t>
      </w:r>
      <w:r w:rsidRPr="00AB0AD0">
        <w:rPr>
          <w:rFonts w:ascii="David" w:eastAsia="Calibri" w:hAnsi="David"/>
          <w:noProof w:val="0"/>
          <w:rtl/>
        </w:rPr>
        <w:t xml:space="preserve"> פורש </w:t>
      </w:r>
      <w:r w:rsidR="003B7086" w:rsidRPr="00AB0AD0">
        <w:rPr>
          <w:rFonts w:ascii="David" w:eastAsia="Calibri" w:hAnsi="David" w:hint="cs"/>
          <w:noProof w:val="0"/>
          <w:rtl/>
        </w:rPr>
        <w:t>הביטוי "</w:t>
      </w:r>
      <w:r w:rsidR="003B7086" w:rsidRPr="00AB0AD0">
        <w:rPr>
          <w:rFonts w:ascii="David" w:eastAsia="Calibri" w:hAnsi="David" w:hint="cs"/>
          <w:b/>
          <w:bCs/>
          <w:noProof w:val="0"/>
          <w:rtl/>
        </w:rPr>
        <w:t>בכל עת</w:t>
      </w:r>
      <w:r w:rsidR="003B7086" w:rsidRPr="00AB0AD0">
        <w:rPr>
          <w:rFonts w:ascii="David" w:eastAsia="Calibri" w:hAnsi="David" w:hint="cs"/>
          <w:noProof w:val="0"/>
          <w:rtl/>
        </w:rPr>
        <w:t xml:space="preserve">" </w:t>
      </w:r>
      <w:r w:rsidRPr="00AB0AD0">
        <w:rPr>
          <w:rFonts w:ascii="David" w:eastAsia="Calibri" w:hAnsi="David"/>
          <w:noProof w:val="0"/>
          <w:rtl/>
        </w:rPr>
        <w:t xml:space="preserve">על ידי כב' השופט ברק כמאפשר שינוי הצוואה ההדדית או ביטולה לאורך חיי המצווים שניהם, ולא </w:t>
      </w:r>
      <w:r w:rsidR="003B7086" w:rsidRPr="00AB0AD0">
        <w:rPr>
          <w:rFonts w:ascii="David" w:eastAsia="Calibri" w:hAnsi="David" w:hint="cs"/>
          <w:noProof w:val="0"/>
          <w:rtl/>
        </w:rPr>
        <w:t xml:space="preserve">אך </w:t>
      </w:r>
      <w:r w:rsidRPr="00AB0AD0">
        <w:rPr>
          <w:rFonts w:ascii="David" w:eastAsia="Calibri" w:hAnsi="David"/>
          <w:noProof w:val="0"/>
          <w:rtl/>
        </w:rPr>
        <w:t>עד למועד פטירת מי מהם</w:t>
      </w:r>
      <w:r w:rsidR="003B7086" w:rsidRPr="00AB0AD0">
        <w:rPr>
          <w:rFonts w:ascii="David" w:eastAsia="Calibri" w:hAnsi="David" w:hint="cs"/>
          <w:noProof w:val="0"/>
          <w:rtl/>
        </w:rPr>
        <w:t xml:space="preserve">: </w:t>
      </w:r>
      <w:r w:rsidRPr="00AB0AD0">
        <w:rPr>
          <w:rFonts w:ascii="David" w:eastAsia="Calibri" w:hAnsi="David"/>
          <w:noProof w:val="0"/>
          <w:rtl/>
        </w:rPr>
        <w:t>"</w:t>
      </w:r>
      <w:r w:rsidRPr="00AB0AD0">
        <w:rPr>
          <w:rFonts w:ascii="David" w:eastAsia="Calibri" w:hAnsi="David"/>
          <w:b/>
          <w:bCs/>
          <w:noProof w:val="0"/>
          <w:rtl/>
        </w:rPr>
        <w:t>דומה שהדיבור "בכל עת" משתרע על פרק הזמן שמעת עריכת הצוואה ועד למותו של המצווה, ואין הוא מוגבל אך ל"עת" אשר ממועד עריכת הצוואה ועד למותו של המצווה המשותף וההדדי.</w:t>
      </w:r>
      <w:r w:rsidRPr="00AB0AD0">
        <w:rPr>
          <w:rFonts w:ascii="David" w:eastAsia="Calibri" w:hAnsi="David"/>
          <w:noProof w:val="0"/>
          <w:rtl/>
        </w:rPr>
        <w:t xml:space="preserve"> </w:t>
      </w:r>
      <w:r w:rsidRPr="00AB0AD0">
        <w:rPr>
          <w:rFonts w:ascii="David" w:eastAsia="Calibri" w:hAnsi="David"/>
          <w:b/>
          <w:bCs/>
          <w:noProof w:val="0"/>
          <w:rtl/>
        </w:rPr>
        <w:t>נמצא כי כנגד אינטרס ההסתמכות המצוי לכאורה בידי מצווה בצוואה משותפת והדדית ביחסיו עם המצווה האחר, באה הודעה מפורשת בצוואה שלפיה חרף ההדדיות נשמר כוח השינוי.</w:t>
      </w:r>
      <w:r w:rsidRPr="00AB0AD0">
        <w:rPr>
          <w:rFonts w:ascii="David" w:eastAsia="Calibri" w:hAnsi="David"/>
          <w:noProof w:val="0"/>
          <w:rtl/>
        </w:rPr>
        <w:t xml:space="preserve"> </w:t>
      </w:r>
      <w:r w:rsidR="00AB0AD0" w:rsidRPr="00AB0AD0">
        <w:rPr>
          <w:rFonts w:ascii="David" w:eastAsia="Calibri" w:hAnsi="David" w:hint="cs"/>
          <w:b/>
          <w:bCs/>
          <w:noProof w:val="0"/>
          <w:rtl/>
        </w:rPr>
        <w:t>...</w:t>
      </w:r>
      <w:r w:rsidRPr="00AB0AD0">
        <w:rPr>
          <w:rFonts w:ascii="David" w:eastAsia="Calibri" w:hAnsi="David"/>
          <w:b/>
          <w:bCs/>
          <w:noProof w:val="0"/>
          <w:rtl/>
        </w:rPr>
        <w:t>הנה-כי-כן, אין מנוס מהמסקנה, כי ויקטוריה מלמד הייתה רשאית לשנות את צוואתה (הראשונה), ואין דבר בדיני הצוואה המשותפת וההדדית המונע זאת ממנה</w:t>
      </w:r>
      <w:r w:rsidRPr="00AB0AD0">
        <w:rPr>
          <w:rFonts w:ascii="David" w:eastAsia="Calibri" w:hAnsi="David"/>
          <w:noProof w:val="0"/>
          <w:rtl/>
        </w:rPr>
        <w:t>."</w:t>
      </w:r>
      <w:r w:rsidR="00AB0AD0">
        <w:rPr>
          <w:rFonts w:ascii="David" w:eastAsia="Calibri" w:hAnsi="David" w:hint="cs"/>
          <w:noProof w:val="0"/>
          <w:rtl/>
        </w:rPr>
        <w:t xml:space="preserve">. דברים אלה יפים אף לעניינינו אנו בו נקטו המנוחים בסעיף 11 </w:t>
      </w:r>
      <w:r w:rsidR="00305405">
        <w:rPr>
          <w:rFonts w:ascii="David" w:eastAsia="Calibri" w:hAnsi="David" w:hint="cs"/>
          <w:noProof w:val="0"/>
          <w:rtl/>
        </w:rPr>
        <w:t xml:space="preserve">לצוואה </w:t>
      </w:r>
      <w:r w:rsidR="00AB0AD0">
        <w:rPr>
          <w:rFonts w:ascii="David" w:eastAsia="Calibri" w:hAnsi="David" w:hint="cs"/>
          <w:noProof w:val="0"/>
          <w:rtl/>
        </w:rPr>
        <w:t>בביטוי "</w:t>
      </w:r>
      <w:r w:rsidR="00AB0AD0" w:rsidRPr="00AB0AD0">
        <w:rPr>
          <w:rFonts w:ascii="David" w:eastAsia="Calibri" w:hAnsi="David" w:hint="cs"/>
          <w:b/>
          <w:bCs/>
          <w:noProof w:val="0"/>
          <w:rtl/>
        </w:rPr>
        <w:t>בכל עת שנרצה</w:t>
      </w:r>
      <w:r w:rsidR="00AB0AD0">
        <w:rPr>
          <w:rFonts w:ascii="David" w:eastAsia="Calibri" w:hAnsi="David" w:hint="cs"/>
          <w:noProof w:val="0"/>
          <w:rtl/>
        </w:rPr>
        <w:t>".</w:t>
      </w:r>
    </w:p>
    <w:p w:rsidR="00AB0AD0" w:rsidRDefault="00AB0AD0" w:rsidP="00AB0AD0">
      <w:pPr>
        <w:pStyle w:val="ae"/>
        <w:rPr>
          <w:rFonts w:ascii="David" w:eastAsia="Calibri" w:hAnsi="David"/>
          <w:noProof w:val="0"/>
          <w:rtl/>
        </w:rPr>
      </w:pPr>
    </w:p>
    <w:p w:rsidR="000B0530" w:rsidRDefault="00AB0AD0" w:rsidP="00AB0AD0">
      <w:pPr>
        <w:numPr>
          <w:ilvl w:val="0"/>
          <w:numId w:val="4"/>
        </w:numPr>
        <w:spacing w:after="160" w:line="360" w:lineRule="auto"/>
        <w:ind w:left="368" w:hanging="510"/>
        <w:contextualSpacing/>
        <w:jc w:val="both"/>
        <w:rPr>
          <w:rFonts w:ascii="David" w:eastAsia="Calibri" w:hAnsi="David"/>
          <w:noProof w:val="0"/>
        </w:rPr>
      </w:pPr>
      <w:r>
        <w:rPr>
          <w:rFonts w:ascii="David" w:eastAsia="Calibri" w:hAnsi="David" w:hint="cs"/>
          <w:noProof w:val="0"/>
          <w:rtl/>
        </w:rPr>
        <w:t xml:space="preserve">נוסף לאמור, יש טעם בדברי המשיב לפיהם לא ניתן ללמוד אך מ"לשון הרבים" שננקטה בהוראת סעיף 11 </w:t>
      </w:r>
      <w:r w:rsidR="000B0530">
        <w:rPr>
          <w:rFonts w:ascii="David" w:eastAsia="Calibri" w:hAnsi="David" w:hint="cs"/>
          <w:noProof w:val="0"/>
          <w:rtl/>
        </w:rPr>
        <w:t xml:space="preserve"> לצוואה על מניעות או הגבלה לשינויה, שהרי הצוואה שלפנינו נערכה על גבי מסמך אחד ומשכך כלל הוראותיה נוסחו בלשון רבים.</w:t>
      </w:r>
    </w:p>
    <w:p w:rsidR="000B0530" w:rsidRDefault="000B0530" w:rsidP="000B0530">
      <w:pPr>
        <w:pStyle w:val="ae"/>
        <w:rPr>
          <w:rFonts w:ascii="David" w:eastAsia="Calibri" w:hAnsi="David"/>
          <w:noProof w:val="0"/>
          <w:rtl/>
        </w:rPr>
      </w:pPr>
    </w:p>
    <w:p w:rsidR="000B0530" w:rsidRDefault="008027B9" w:rsidP="000B0530">
      <w:pPr>
        <w:numPr>
          <w:ilvl w:val="0"/>
          <w:numId w:val="4"/>
        </w:numPr>
        <w:spacing w:after="160" w:line="360" w:lineRule="auto"/>
        <w:ind w:left="368" w:hanging="510"/>
        <w:contextualSpacing/>
        <w:jc w:val="both"/>
        <w:rPr>
          <w:rFonts w:ascii="David" w:eastAsia="Calibri" w:hAnsi="David"/>
          <w:noProof w:val="0"/>
        </w:rPr>
      </w:pPr>
      <w:r w:rsidRPr="00AB0AD0">
        <w:rPr>
          <w:rFonts w:ascii="David" w:eastAsia="Calibri" w:hAnsi="David" w:hint="cs"/>
          <w:noProof w:val="0"/>
          <w:rtl/>
        </w:rPr>
        <w:t xml:space="preserve">בפסק דינו </w:t>
      </w:r>
      <w:r w:rsidRPr="00AB0AD0">
        <w:rPr>
          <w:rFonts w:ascii="David" w:eastAsia="Calibri" w:hAnsi="David"/>
          <w:noProof w:val="0"/>
          <w:rtl/>
        </w:rPr>
        <w:t>בעמ"ש 51823-03-11</w:t>
      </w:r>
      <w:r w:rsidR="00305405">
        <w:rPr>
          <w:rFonts w:ascii="David" w:eastAsia="Calibri" w:hAnsi="David" w:hint="cs"/>
          <w:noProof w:val="0"/>
          <w:rtl/>
        </w:rPr>
        <w:t>,</w:t>
      </w:r>
      <w:r w:rsidRPr="00AB0AD0">
        <w:rPr>
          <w:rFonts w:ascii="David" w:eastAsia="Calibri" w:hAnsi="David"/>
          <w:noProof w:val="0"/>
          <w:rtl/>
        </w:rPr>
        <w:t xml:space="preserve"> </w:t>
      </w:r>
      <w:r w:rsidRPr="00AB0AD0">
        <w:rPr>
          <w:rFonts w:ascii="David" w:eastAsia="Calibri" w:hAnsi="David" w:hint="cs"/>
          <w:noProof w:val="0"/>
          <w:rtl/>
        </w:rPr>
        <w:t xml:space="preserve">כב' </w:t>
      </w:r>
      <w:r w:rsidRPr="00AB0AD0">
        <w:rPr>
          <w:rFonts w:ascii="David" w:eastAsia="Calibri" w:hAnsi="David"/>
          <w:noProof w:val="0"/>
          <w:rtl/>
        </w:rPr>
        <w:t>השופט שנלר</w:t>
      </w:r>
      <w:r w:rsidRPr="00AB0AD0">
        <w:rPr>
          <w:rFonts w:ascii="David" w:eastAsia="Calibri" w:hAnsi="David" w:hint="cs"/>
          <w:noProof w:val="0"/>
          <w:rtl/>
        </w:rPr>
        <w:t xml:space="preserve"> מצא אף הוא לדחות טיעון המבוסס על "</w:t>
      </w:r>
      <w:r w:rsidRPr="00027B65">
        <w:rPr>
          <w:rFonts w:ascii="David" w:eastAsia="Calibri" w:hAnsi="David" w:hint="cs"/>
          <w:noProof w:val="0"/>
          <w:rtl/>
        </w:rPr>
        <w:t>לשון הרבים</w:t>
      </w:r>
      <w:r w:rsidRPr="00AB0AD0">
        <w:rPr>
          <w:rFonts w:ascii="David" w:eastAsia="Calibri" w:hAnsi="David" w:hint="cs"/>
          <w:noProof w:val="0"/>
          <w:rtl/>
        </w:rPr>
        <w:t xml:space="preserve">" בצוואה- ככזה המלמד על הגבלה על עריכת צוואה נוספת לאחר פטירת בן הזוג, </w:t>
      </w:r>
      <w:r w:rsidR="006B7FFD" w:rsidRPr="00AB0AD0">
        <w:rPr>
          <w:rFonts w:ascii="David" w:eastAsia="Calibri" w:hAnsi="David"/>
          <w:noProof w:val="0"/>
          <w:rtl/>
        </w:rPr>
        <w:t>ודבריו יפים אף לעניינינו אנו: "</w:t>
      </w:r>
      <w:r w:rsidR="006B7FFD" w:rsidRPr="000B0530">
        <w:rPr>
          <w:rFonts w:ascii="David" w:eastAsia="Calibri" w:hAnsi="David"/>
          <w:b/>
          <w:bCs/>
          <w:noProof w:val="0"/>
          <w:rtl/>
        </w:rPr>
        <w:t>הבן תלה יהבו בלשון "הרבים" בה נוסח סעיף 8 האמור. אולם, בכך קיימת התעלמות מכך שניסוחה של הצוואה כולה הינו בלשון רבים. בלשון אחרת, אם אכן סעיף 8 לצוואה המשותפת, בלבד, היה מנוסח בלשון רבים, ניחא. אולם, מעת שלשון הרבים הינה הנוסח של כלל הצוואה, אין אני סובר כי יש להסיק מלשון הרבים את אשר הסיק בית משפט קמא. ...</w:t>
      </w:r>
      <w:r w:rsidR="006B7FFD" w:rsidRPr="00AB0AD0">
        <w:rPr>
          <w:rFonts w:ascii="David" w:eastAsia="Calibri" w:hAnsi="David"/>
          <w:noProof w:val="0"/>
          <w:rtl/>
        </w:rPr>
        <w:t>"</w:t>
      </w:r>
      <w:r w:rsidR="006B7FFD" w:rsidRPr="00AB0AD0">
        <w:rPr>
          <w:rFonts w:ascii="David" w:eastAsia="Calibri" w:hAnsi="David" w:hint="cs"/>
          <w:noProof w:val="0"/>
          <w:rtl/>
        </w:rPr>
        <w:t>; גם בעניינינו אנו, עת מדובר בצוואה משותפת של המנוחים שניהם, שנערכה על גבי מסמך אחד, הרי מטבע הדברים נוסחו כלל הוראותיה בלשון רבים, ולפיכך קשה לקבל הטיעון הנסמך על לשון הרבים בהוראת סעיף 11 בלבד.</w:t>
      </w:r>
    </w:p>
    <w:p w:rsidR="000B0530" w:rsidRDefault="000B0530" w:rsidP="000B0530">
      <w:pPr>
        <w:pStyle w:val="ae"/>
        <w:rPr>
          <w:rFonts w:ascii="David" w:eastAsia="Calibri" w:hAnsi="David"/>
          <w:noProof w:val="0"/>
          <w:rtl/>
        </w:rPr>
      </w:pPr>
    </w:p>
    <w:p w:rsidR="000B0530" w:rsidRDefault="000B0530" w:rsidP="0060588E">
      <w:pPr>
        <w:numPr>
          <w:ilvl w:val="0"/>
          <w:numId w:val="4"/>
        </w:numPr>
        <w:spacing w:after="160" w:line="360" w:lineRule="auto"/>
        <w:ind w:left="368" w:hanging="510"/>
        <w:contextualSpacing/>
        <w:jc w:val="both"/>
        <w:rPr>
          <w:rFonts w:ascii="David" w:eastAsia="Calibri" w:hAnsi="David"/>
          <w:noProof w:val="0"/>
        </w:rPr>
      </w:pPr>
      <w:r w:rsidRPr="000B0530">
        <w:rPr>
          <w:rFonts w:ascii="David" w:eastAsia="Calibri" w:hAnsi="David"/>
          <w:noProof w:val="0"/>
          <w:rtl/>
        </w:rPr>
        <w:t>המבקשת 1 בפרשנותה לסעיף 11 לצוואה, מתיימרת אפוא להוסיף את המילה "</w:t>
      </w:r>
      <w:r w:rsidRPr="000B0530">
        <w:rPr>
          <w:rFonts w:ascii="David" w:eastAsia="Calibri" w:hAnsi="David"/>
          <w:b/>
          <w:bCs/>
          <w:noProof w:val="0"/>
          <w:rtl/>
        </w:rPr>
        <w:t>ביחד</w:t>
      </w:r>
      <w:r w:rsidRPr="000B0530">
        <w:rPr>
          <w:rFonts w:ascii="David" w:eastAsia="Calibri" w:hAnsi="David"/>
          <w:noProof w:val="0"/>
          <w:rtl/>
        </w:rPr>
        <w:t xml:space="preserve">", על בסיס לשון רבים בה נקטו המצווים בסעיף זה, אולם </w:t>
      </w:r>
      <w:r w:rsidR="0060588E">
        <w:rPr>
          <w:rFonts w:ascii="David" w:eastAsia="Calibri" w:hAnsi="David" w:hint="cs"/>
          <w:noProof w:val="0"/>
          <w:rtl/>
        </w:rPr>
        <w:t xml:space="preserve">בפועל </w:t>
      </w:r>
      <w:r w:rsidRPr="000B0530">
        <w:rPr>
          <w:rFonts w:ascii="David" w:eastAsia="Calibri" w:hAnsi="David"/>
          <w:noProof w:val="0"/>
          <w:rtl/>
        </w:rPr>
        <w:t xml:space="preserve">המילה </w:t>
      </w:r>
      <w:r w:rsidR="00C70226">
        <w:rPr>
          <w:rFonts w:ascii="David" w:eastAsia="Calibri" w:hAnsi="David" w:hint="cs"/>
          <w:noProof w:val="0"/>
          <w:rtl/>
        </w:rPr>
        <w:t xml:space="preserve">"ביחד" </w:t>
      </w:r>
      <w:r w:rsidRPr="00C70226">
        <w:rPr>
          <w:rFonts w:ascii="David" w:eastAsia="Calibri" w:hAnsi="David"/>
          <w:b/>
          <w:bCs/>
          <w:noProof w:val="0"/>
          <w:u w:val="single"/>
          <w:rtl/>
        </w:rPr>
        <w:t>לא</w:t>
      </w:r>
      <w:r w:rsidRPr="000B0530">
        <w:rPr>
          <w:rFonts w:ascii="David" w:eastAsia="Calibri" w:hAnsi="David"/>
          <w:noProof w:val="0"/>
          <w:rtl/>
        </w:rPr>
        <w:t xml:space="preserve"> </w:t>
      </w:r>
      <w:r w:rsidR="0060588E">
        <w:rPr>
          <w:rFonts w:ascii="David" w:eastAsia="Calibri" w:hAnsi="David" w:hint="cs"/>
          <w:noProof w:val="0"/>
          <w:rtl/>
        </w:rPr>
        <w:t>נכתבה</w:t>
      </w:r>
      <w:r w:rsidRPr="000B0530">
        <w:rPr>
          <w:rFonts w:ascii="David" w:eastAsia="Calibri" w:hAnsi="David"/>
          <w:noProof w:val="0"/>
          <w:rtl/>
        </w:rPr>
        <w:t xml:space="preserve"> בצוואה, ולמעשה אין כל הגבלה בלשון הצוואה על שינוי הצוואה</w:t>
      </w:r>
      <w:r w:rsidR="0060588E">
        <w:rPr>
          <w:rFonts w:ascii="David" w:eastAsia="Calibri" w:hAnsi="David" w:hint="cs"/>
          <w:noProof w:val="0"/>
          <w:rtl/>
        </w:rPr>
        <w:t xml:space="preserve"> דווקא ביחד</w:t>
      </w:r>
      <w:r w:rsidRPr="000B0530">
        <w:rPr>
          <w:rFonts w:ascii="David" w:eastAsia="Calibri" w:hAnsi="David"/>
          <w:noProof w:val="0"/>
          <w:rtl/>
        </w:rPr>
        <w:t>, עת נקבע מפורשות כי הזכות לשנות את הצוואה או לבטלה תהיה נתונה ביד</w:t>
      </w:r>
      <w:r w:rsidR="0060588E">
        <w:rPr>
          <w:rFonts w:ascii="David" w:eastAsia="Calibri" w:hAnsi="David" w:hint="cs"/>
          <w:noProof w:val="0"/>
          <w:rtl/>
        </w:rPr>
        <w:t>י המצווים</w:t>
      </w:r>
      <w:r w:rsidRPr="000B0530">
        <w:rPr>
          <w:rFonts w:ascii="David" w:eastAsia="Calibri" w:hAnsi="David"/>
          <w:noProof w:val="0"/>
          <w:rtl/>
        </w:rPr>
        <w:t xml:space="preserve"> "</w:t>
      </w:r>
      <w:r w:rsidRPr="000B0530">
        <w:rPr>
          <w:rFonts w:ascii="David" w:eastAsia="Calibri" w:hAnsi="David"/>
          <w:b/>
          <w:bCs/>
          <w:noProof w:val="0"/>
          <w:rtl/>
        </w:rPr>
        <w:t>בכל עת שנרצה</w:t>
      </w:r>
      <w:r w:rsidRPr="000B0530">
        <w:rPr>
          <w:rFonts w:ascii="David" w:eastAsia="Calibri" w:hAnsi="David"/>
          <w:noProof w:val="0"/>
          <w:rtl/>
        </w:rPr>
        <w:t>".</w:t>
      </w:r>
    </w:p>
    <w:p w:rsidR="000B0530" w:rsidRDefault="000B0530" w:rsidP="000B0530">
      <w:pPr>
        <w:pStyle w:val="ae"/>
        <w:rPr>
          <w:rFonts w:ascii="David" w:eastAsia="Calibri" w:hAnsi="David"/>
          <w:noProof w:val="0"/>
          <w:rtl/>
        </w:rPr>
      </w:pPr>
    </w:p>
    <w:p w:rsidR="000B0530" w:rsidRDefault="00D63426" w:rsidP="000B0530">
      <w:pPr>
        <w:numPr>
          <w:ilvl w:val="0"/>
          <w:numId w:val="4"/>
        </w:numPr>
        <w:spacing w:after="160" w:line="360" w:lineRule="auto"/>
        <w:ind w:left="368" w:hanging="510"/>
        <w:contextualSpacing/>
        <w:jc w:val="both"/>
        <w:rPr>
          <w:rFonts w:ascii="David" w:eastAsia="Calibri" w:hAnsi="David"/>
          <w:noProof w:val="0"/>
        </w:rPr>
      </w:pPr>
      <w:r w:rsidRPr="000B0530">
        <w:rPr>
          <w:rFonts w:ascii="David" w:eastAsia="Calibri" w:hAnsi="David" w:hint="cs"/>
          <w:noProof w:val="0"/>
          <w:rtl/>
        </w:rPr>
        <w:t>בעניינינו אנו</w:t>
      </w:r>
      <w:r w:rsidR="00E34603" w:rsidRPr="000B0530">
        <w:rPr>
          <w:rFonts w:ascii="David" w:eastAsia="Calibri" w:hAnsi="David"/>
          <w:noProof w:val="0"/>
          <w:rtl/>
        </w:rPr>
        <w:t xml:space="preserve">, </w:t>
      </w:r>
      <w:r w:rsidRPr="000B0530">
        <w:rPr>
          <w:rFonts w:ascii="David" w:eastAsia="Calibri" w:hAnsi="David" w:hint="cs"/>
          <w:noProof w:val="0"/>
          <w:rtl/>
        </w:rPr>
        <w:t>אומד דעת המנוחים נלמדת</w:t>
      </w:r>
      <w:r w:rsidRPr="000B0530">
        <w:rPr>
          <w:rFonts w:ascii="David" w:eastAsia="Calibri" w:hAnsi="David" w:hint="cs"/>
          <w:b/>
          <w:bCs/>
          <w:noProof w:val="0"/>
          <w:rtl/>
        </w:rPr>
        <w:t xml:space="preserve"> מתוך </w:t>
      </w:r>
      <w:r w:rsidR="008360E2" w:rsidRPr="000B0530">
        <w:rPr>
          <w:rFonts w:ascii="David" w:eastAsia="Calibri" w:hAnsi="David" w:hint="cs"/>
          <w:b/>
          <w:bCs/>
          <w:noProof w:val="0"/>
          <w:rtl/>
        </w:rPr>
        <w:t xml:space="preserve">לשון </w:t>
      </w:r>
      <w:r w:rsidRPr="000B0530">
        <w:rPr>
          <w:rFonts w:ascii="David" w:eastAsia="Calibri" w:hAnsi="David" w:hint="cs"/>
          <w:b/>
          <w:bCs/>
          <w:noProof w:val="0"/>
          <w:rtl/>
        </w:rPr>
        <w:t>הצוואה</w:t>
      </w:r>
      <w:r w:rsidRPr="000B0530">
        <w:rPr>
          <w:rFonts w:ascii="David" w:eastAsia="Calibri" w:hAnsi="David" w:hint="cs"/>
          <w:noProof w:val="0"/>
          <w:rtl/>
        </w:rPr>
        <w:t xml:space="preserve"> </w:t>
      </w:r>
      <w:r w:rsidRPr="000B0530">
        <w:rPr>
          <w:rFonts w:ascii="David" w:eastAsia="Calibri" w:hAnsi="David"/>
          <w:noProof w:val="0"/>
          <w:rtl/>
        </w:rPr>
        <w:t>–</w:t>
      </w:r>
      <w:r w:rsidRPr="000B0530">
        <w:rPr>
          <w:rFonts w:ascii="David" w:eastAsia="Calibri" w:hAnsi="David" w:hint="cs"/>
          <w:noProof w:val="0"/>
          <w:rtl/>
        </w:rPr>
        <w:t xml:space="preserve"> כאשר </w:t>
      </w:r>
      <w:r w:rsidR="00E34603" w:rsidRPr="000B0530">
        <w:rPr>
          <w:rFonts w:ascii="David" w:eastAsia="Calibri" w:hAnsi="David"/>
          <w:noProof w:val="0"/>
          <w:rtl/>
        </w:rPr>
        <w:t>בעוד שפרשנותו של המשיב נתמכת באותו "וו" עליו ניתן לתלות המילים "</w:t>
      </w:r>
      <w:r w:rsidR="00E34603" w:rsidRPr="000B0530">
        <w:rPr>
          <w:rFonts w:ascii="David" w:eastAsia="Calibri" w:hAnsi="David"/>
          <w:b/>
          <w:bCs/>
          <w:noProof w:val="0"/>
          <w:rtl/>
        </w:rPr>
        <w:t>בכל עת שנרצה</w:t>
      </w:r>
      <w:r w:rsidR="00E34603" w:rsidRPr="000B0530">
        <w:rPr>
          <w:rFonts w:ascii="David" w:eastAsia="Calibri" w:hAnsi="David"/>
          <w:noProof w:val="0"/>
          <w:rtl/>
        </w:rPr>
        <w:t xml:space="preserve">" (שכאמור לעיל פורשו בפרשת </w:t>
      </w:r>
      <w:r w:rsidR="00E34603" w:rsidRPr="000B0530">
        <w:rPr>
          <w:rFonts w:ascii="David" w:eastAsia="Calibri" w:hAnsi="David"/>
          <w:b/>
          <w:bCs/>
          <w:noProof w:val="0"/>
          <w:rtl/>
        </w:rPr>
        <w:t>מלמד</w:t>
      </w:r>
      <w:r w:rsidR="00E34603" w:rsidRPr="000B0530">
        <w:rPr>
          <w:rFonts w:ascii="David" w:eastAsia="Calibri" w:hAnsi="David"/>
          <w:noProof w:val="0"/>
          <w:rtl/>
        </w:rPr>
        <w:t xml:space="preserve"> ללא כל הגבלה ביחס לשינויה לאחר פטירת אחד משני המצווים); הרי ש</w:t>
      </w:r>
      <w:r w:rsidR="00DC6BF5" w:rsidRPr="000B0530">
        <w:rPr>
          <w:rFonts w:ascii="David" w:eastAsia="Calibri" w:hAnsi="David" w:hint="cs"/>
          <w:noProof w:val="0"/>
          <w:rtl/>
        </w:rPr>
        <w:t xml:space="preserve">מנגד, </w:t>
      </w:r>
      <w:r w:rsidR="00E34603" w:rsidRPr="000B0530">
        <w:rPr>
          <w:rFonts w:ascii="David" w:eastAsia="Calibri" w:hAnsi="David"/>
          <w:noProof w:val="0"/>
          <w:rtl/>
        </w:rPr>
        <w:t>פרשנות המבקשת לפיה מלשון רבים בה נקטו המצווים בהוראה זו ניתן ללמוד על הוספת המילה "</w:t>
      </w:r>
      <w:r w:rsidR="00E34603" w:rsidRPr="000B0530">
        <w:rPr>
          <w:rFonts w:ascii="David" w:eastAsia="Calibri" w:hAnsi="David"/>
          <w:b/>
          <w:bCs/>
          <w:noProof w:val="0"/>
          <w:rtl/>
        </w:rPr>
        <w:t>ביחד</w:t>
      </w:r>
      <w:r w:rsidR="00E34603" w:rsidRPr="000B0530">
        <w:rPr>
          <w:rFonts w:ascii="David" w:eastAsia="Calibri" w:hAnsi="David"/>
          <w:noProof w:val="0"/>
          <w:rtl/>
        </w:rPr>
        <w:t xml:space="preserve">", אין כל נקודת אחיזה "ארכימדית" בלשון הצוואה, מלבד הטענה כי היא מנוסחת בלשון רבים, וכאמור </w:t>
      </w:r>
      <w:r w:rsidR="00E34603" w:rsidRPr="000B0530">
        <w:rPr>
          <w:rFonts w:ascii="David" w:eastAsia="Calibri" w:hAnsi="David"/>
          <w:noProof w:val="0"/>
          <w:rtl/>
        </w:rPr>
        <w:lastRenderedPageBreak/>
        <w:t>לעיל, עניין זה הוא אך מתבקש בנסיבות בהן מדובר בצוואה משותפת שנערכה במסמך אחד ולא בשני מסמכים נפרדים</w:t>
      </w:r>
      <w:r w:rsidR="000B3BC4" w:rsidRPr="000B0530">
        <w:rPr>
          <w:rFonts w:ascii="David" w:eastAsia="Calibri" w:hAnsi="David" w:hint="cs"/>
          <w:noProof w:val="0"/>
          <w:rtl/>
        </w:rPr>
        <w:t>, ומשתרעת על פני הצוואה כולה ולא אך על הוראת סעיף זה</w:t>
      </w:r>
      <w:r w:rsidR="001D7276" w:rsidRPr="000B0530">
        <w:rPr>
          <w:rFonts w:ascii="David" w:eastAsia="Calibri" w:hAnsi="David" w:hint="cs"/>
          <w:noProof w:val="0"/>
          <w:rtl/>
        </w:rPr>
        <w:t>.</w:t>
      </w:r>
    </w:p>
    <w:p w:rsidR="000B0530" w:rsidRDefault="000B0530" w:rsidP="000B0530">
      <w:pPr>
        <w:pStyle w:val="ae"/>
        <w:rPr>
          <w:rFonts w:ascii="David" w:eastAsia="Calibri" w:hAnsi="David"/>
          <w:noProof w:val="0"/>
          <w:rtl/>
        </w:rPr>
      </w:pPr>
    </w:p>
    <w:p w:rsidR="000B0530" w:rsidRDefault="001D7276" w:rsidP="000B0530">
      <w:pPr>
        <w:numPr>
          <w:ilvl w:val="0"/>
          <w:numId w:val="4"/>
        </w:numPr>
        <w:spacing w:after="160" w:line="360" w:lineRule="auto"/>
        <w:ind w:left="368" w:hanging="510"/>
        <w:contextualSpacing/>
        <w:jc w:val="both"/>
        <w:rPr>
          <w:rFonts w:ascii="David" w:eastAsia="Calibri" w:hAnsi="David"/>
          <w:noProof w:val="0"/>
        </w:rPr>
      </w:pPr>
      <w:r w:rsidRPr="000B0530">
        <w:rPr>
          <w:rFonts w:ascii="David" w:eastAsia="Calibri" w:hAnsi="David"/>
          <w:noProof w:val="0"/>
          <w:rtl/>
        </w:rPr>
        <w:t xml:space="preserve">לעניין </w:t>
      </w:r>
      <w:r w:rsidR="00DC6BF5" w:rsidRPr="000B0530">
        <w:rPr>
          <w:rFonts w:ascii="David" w:eastAsia="Calibri" w:hAnsi="David" w:hint="cs"/>
          <w:noProof w:val="0"/>
          <w:rtl/>
        </w:rPr>
        <w:t>החסר במילה "ביחד" בהוראת סעיף 11 לצוואה שלפנינו,</w:t>
      </w:r>
      <w:r w:rsidRPr="000B0530">
        <w:rPr>
          <w:rFonts w:ascii="David" w:eastAsia="Calibri" w:hAnsi="David"/>
          <w:noProof w:val="0"/>
          <w:rtl/>
        </w:rPr>
        <w:t xml:space="preserve"> יפים דברי </w:t>
      </w:r>
      <w:r w:rsidR="00372566" w:rsidRPr="000B0530">
        <w:rPr>
          <w:rFonts w:ascii="David" w:eastAsia="Calibri" w:hAnsi="David" w:hint="cs"/>
          <w:noProof w:val="0"/>
          <w:rtl/>
        </w:rPr>
        <w:t xml:space="preserve">כבוד השופט שנלר </w:t>
      </w:r>
      <w:r w:rsidRPr="000B0530">
        <w:rPr>
          <w:rFonts w:ascii="David" w:eastAsia="Calibri" w:hAnsi="David"/>
          <w:noProof w:val="0"/>
          <w:rtl/>
        </w:rPr>
        <w:t xml:space="preserve"> בעמ"ש 51823-03-11 הנ"ל, </w:t>
      </w:r>
      <w:r w:rsidR="008C4196" w:rsidRPr="000B0530">
        <w:rPr>
          <w:rFonts w:ascii="David" w:eastAsia="Calibri" w:hAnsi="David" w:hint="cs"/>
          <w:noProof w:val="0"/>
          <w:rtl/>
        </w:rPr>
        <w:t>אשר סבר כי בכדי להסיק כי הכוונה המשותפת של הצדדים ה</w:t>
      </w:r>
      <w:r w:rsidR="000B0530">
        <w:rPr>
          <w:rFonts w:ascii="David" w:eastAsia="Calibri" w:hAnsi="David" w:hint="cs"/>
          <w:noProof w:val="0"/>
          <w:rtl/>
        </w:rPr>
        <w:t>י</w:t>
      </w:r>
      <w:r w:rsidR="008C4196" w:rsidRPr="000B0530">
        <w:rPr>
          <w:rFonts w:ascii="David" w:eastAsia="Calibri" w:hAnsi="David" w:hint="cs"/>
          <w:noProof w:val="0"/>
          <w:rtl/>
        </w:rPr>
        <w:t xml:space="preserve">יתה לאסור ולמנוע שינוי הצוואה נדרשות </w:t>
      </w:r>
      <w:r w:rsidR="008C4196" w:rsidRPr="000B0530">
        <w:rPr>
          <w:rtl/>
        </w:rPr>
        <w:t>נסיבות מיוחדות ולשון ברורה</w:t>
      </w:r>
      <w:r w:rsidRPr="000B0530">
        <w:rPr>
          <w:rFonts w:ascii="David" w:eastAsia="Calibri" w:hAnsi="David"/>
          <w:noProof w:val="0"/>
          <w:rtl/>
        </w:rPr>
        <w:t>: ‏‏ "</w:t>
      </w:r>
      <w:r w:rsidRPr="000B0530">
        <w:rPr>
          <w:rFonts w:ascii="David" w:eastAsia="Calibri" w:hAnsi="David"/>
          <w:b/>
          <w:bCs/>
          <w:noProof w:val="0"/>
          <w:rtl/>
        </w:rPr>
        <w:t xml:space="preserve">עד כאן הצבענו על אשר מצוי בצוואה. אולם בכך לא סגי, ועלינו להידרש לאשר לא מצוי בה. מצופה היה כי אם נושא כה קרדינלי, כאפשרות שינוי חד צדדי של הצוואה, עמד בפני המנוחים בעת עריכת הצוואה, היה הדבר מוצא ביטוי באופן חיובי ולא על דרך הדיוק. דהיינו, </w:t>
      </w:r>
      <w:r w:rsidRPr="000B0530">
        <w:rPr>
          <w:rFonts w:ascii="David" w:eastAsia="Calibri" w:hAnsi="David"/>
          <w:b/>
          <w:bCs/>
          <w:noProof w:val="0"/>
          <w:u w:val="single"/>
          <w:rtl/>
        </w:rPr>
        <w:t>היינו מצפים למצוא הוראה חד משמעית וברורה</w:t>
      </w:r>
      <w:r w:rsidRPr="000B0530">
        <w:rPr>
          <w:rFonts w:ascii="David" w:eastAsia="Calibri" w:hAnsi="David"/>
          <w:b/>
          <w:bCs/>
          <w:noProof w:val="0"/>
          <w:rtl/>
        </w:rPr>
        <w:t xml:space="preserve"> אשר בה יצוין מפורשות כנטען עתה על ידי הבן. זאת לא מצאנו. בלשון אחרת, מצאנו את הסעיף המאפשר שינוי הצוואה, וללא הגבלה אודות מועד השינוי, ובדומה ל"בכל עת". יתר על כן, </w:t>
      </w:r>
      <w:r w:rsidRPr="000B0530">
        <w:rPr>
          <w:rFonts w:ascii="David" w:eastAsia="Calibri" w:hAnsi="David"/>
          <w:b/>
          <w:bCs/>
          <w:noProof w:val="0"/>
          <w:u w:val="single"/>
          <w:rtl/>
        </w:rPr>
        <w:t>העיקר "חסר מהספר" קרי, כי השינוי יכול ויהיה רק "יחד"</w:t>
      </w:r>
      <w:r w:rsidRPr="000B0530">
        <w:rPr>
          <w:rFonts w:ascii="David" w:eastAsia="Calibri" w:hAnsi="David"/>
          <w:b/>
          <w:bCs/>
          <w:noProof w:val="0"/>
          <w:rtl/>
        </w:rPr>
        <w:t xml:space="preserve"> או בצורה דומה</w:t>
      </w:r>
      <w:r w:rsidRPr="000B0530">
        <w:rPr>
          <w:rFonts w:ascii="David" w:eastAsia="Calibri" w:hAnsi="David"/>
          <w:noProof w:val="0"/>
          <w:rtl/>
        </w:rPr>
        <w:t>." (הדגשה שלי- ה.ג.)</w:t>
      </w:r>
      <w:r w:rsidRPr="000B0530">
        <w:rPr>
          <w:rFonts w:ascii="David" w:eastAsia="Calibri" w:hAnsi="David" w:hint="cs"/>
          <w:noProof w:val="0"/>
          <w:rtl/>
        </w:rPr>
        <w:t>.</w:t>
      </w:r>
    </w:p>
    <w:p w:rsidR="000B0530" w:rsidRDefault="000B0530" w:rsidP="000B0530">
      <w:pPr>
        <w:pStyle w:val="ae"/>
        <w:rPr>
          <w:rFonts w:ascii="David" w:eastAsia="Calibri" w:hAnsi="David"/>
          <w:noProof w:val="0"/>
          <w:rtl/>
        </w:rPr>
      </w:pPr>
    </w:p>
    <w:p w:rsidR="000B0530" w:rsidRDefault="005B0961" w:rsidP="00C70226">
      <w:pPr>
        <w:numPr>
          <w:ilvl w:val="0"/>
          <w:numId w:val="4"/>
        </w:numPr>
        <w:spacing w:after="160" w:line="360" w:lineRule="auto"/>
        <w:ind w:left="368" w:hanging="510"/>
        <w:contextualSpacing/>
        <w:jc w:val="both"/>
        <w:rPr>
          <w:rFonts w:ascii="David" w:eastAsia="Calibri" w:hAnsi="David"/>
          <w:noProof w:val="0"/>
        </w:rPr>
      </w:pPr>
      <w:r w:rsidRPr="000B0530">
        <w:rPr>
          <w:rFonts w:ascii="David" w:eastAsia="Calibri" w:hAnsi="David" w:hint="cs"/>
          <w:noProof w:val="0"/>
          <w:rtl/>
        </w:rPr>
        <w:t>בעניינו, על אף שב</w:t>
      </w:r>
      <w:r w:rsidRPr="000B0530">
        <w:rPr>
          <w:rFonts w:ascii="David" w:eastAsia="Calibri" w:hAnsi="David"/>
          <w:noProof w:val="0"/>
          <w:rtl/>
        </w:rPr>
        <w:t xml:space="preserve">סעיף 9 לצוואה </w:t>
      </w:r>
      <w:r w:rsidRPr="000B0530">
        <w:rPr>
          <w:rFonts w:ascii="David" w:eastAsia="Calibri" w:hAnsi="David" w:hint="cs"/>
          <w:noProof w:val="0"/>
          <w:rtl/>
        </w:rPr>
        <w:t>הודגש</w:t>
      </w:r>
      <w:r w:rsidRPr="000B0530">
        <w:rPr>
          <w:rFonts w:ascii="David" w:eastAsia="Calibri" w:hAnsi="David"/>
          <w:noProof w:val="0"/>
          <w:rtl/>
        </w:rPr>
        <w:t xml:space="preserve"> על ידי המנוחים כי צוואתם נערכה "לאחר שיקול דעת מעמיק וממושך...",</w:t>
      </w:r>
      <w:r w:rsidRPr="000B0530">
        <w:rPr>
          <w:rFonts w:ascii="David" w:eastAsia="Calibri" w:hAnsi="David" w:hint="cs"/>
          <w:noProof w:val="0"/>
          <w:rtl/>
        </w:rPr>
        <w:t xml:space="preserve"> המנוחים לא מצאו להוסיף הגבלה </w:t>
      </w:r>
      <w:r w:rsidR="0060588E">
        <w:rPr>
          <w:rFonts w:ascii="David" w:eastAsia="Calibri" w:hAnsi="David" w:hint="cs"/>
          <w:noProof w:val="0"/>
          <w:rtl/>
        </w:rPr>
        <w:t xml:space="preserve">כלשהי </w:t>
      </w:r>
      <w:r w:rsidRPr="000B0530">
        <w:rPr>
          <w:rFonts w:ascii="David" w:eastAsia="Calibri" w:hAnsi="David" w:hint="cs"/>
          <w:noProof w:val="0"/>
          <w:rtl/>
        </w:rPr>
        <w:t xml:space="preserve">על שינוי הצוואה, ואף לא לציין את המילה </w:t>
      </w:r>
      <w:r w:rsidR="008A4492">
        <w:rPr>
          <w:rFonts w:ascii="David" w:eastAsia="Calibri" w:hAnsi="David" w:hint="cs"/>
          <w:noProof w:val="0"/>
          <w:rtl/>
        </w:rPr>
        <w:t>"</w:t>
      </w:r>
      <w:r w:rsidR="00C70226" w:rsidRPr="008A4492">
        <w:rPr>
          <w:rFonts w:ascii="David" w:eastAsia="Calibri" w:hAnsi="David" w:hint="cs"/>
          <w:noProof w:val="0"/>
          <w:rtl/>
        </w:rPr>
        <w:t>ביחד</w:t>
      </w:r>
      <w:r w:rsidR="008A4492">
        <w:rPr>
          <w:rFonts w:ascii="David" w:eastAsia="Calibri" w:hAnsi="David" w:hint="cs"/>
          <w:noProof w:val="0"/>
          <w:rtl/>
        </w:rPr>
        <w:t>"</w:t>
      </w:r>
      <w:r w:rsidR="00C70226">
        <w:rPr>
          <w:rFonts w:ascii="David" w:eastAsia="Calibri" w:hAnsi="David" w:hint="cs"/>
          <w:b/>
          <w:bCs/>
          <w:noProof w:val="0"/>
          <w:rtl/>
        </w:rPr>
        <w:t xml:space="preserve"> </w:t>
      </w:r>
      <w:r w:rsidR="00C70226" w:rsidRPr="00C70226">
        <w:rPr>
          <w:rFonts w:ascii="David" w:eastAsia="Calibri" w:hAnsi="David" w:hint="cs"/>
          <w:noProof w:val="0"/>
          <w:rtl/>
        </w:rPr>
        <w:t>בסעיף 11</w:t>
      </w:r>
      <w:r w:rsidR="00C70226">
        <w:rPr>
          <w:rFonts w:ascii="David" w:eastAsia="Calibri" w:hAnsi="David" w:hint="cs"/>
          <w:noProof w:val="0"/>
          <w:rtl/>
        </w:rPr>
        <w:t xml:space="preserve"> לצוואתם, ויש בכך ללמד על אומד דעתם שלא לכבול או להגביל האחד את רעהו אך לכדי שינוי משותף של הצוואה.</w:t>
      </w:r>
    </w:p>
    <w:p w:rsidR="000B0530" w:rsidRPr="00C70226" w:rsidRDefault="000B0530" w:rsidP="000B0530">
      <w:pPr>
        <w:pStyle w:val="ae"/>
        <w:rPr>
          <w:rFonts w:ascii="David" w:eastAsia="Calibri" w:hAnsi="David"/>
          <w:noProof w:val="0"/>
          <w:rtl/>
        </w:rPr>
      </w:pPr>
    </w:p>
    <w:p w:rsidR="000B0530" w:rsidRDefault="001D7276" w:rsidP="000B0530">
      <w:pPr>
        <w:numPr>
          <w:ilvl w:val="0"/>
          <w:numId w:val="4"/>
        </w:numPr>
        <w:spacing w:after="160" w:line="360" w:lineRule="auto"/>
        <w:ind w:left="368" w:hanging="510"/>
        <w:contextualSpacing/>
        <w:jc w:val="both"/>
        <w:rPr>
          <w:rFonts w:ascii="David" w:eastAsia="Calibri" w:hAnsi="David"/>
          <w:noProof w:val="0"/>
        </w:rPr>
      </w:pPr>
      <w:r w:rsidRPr="000B0530">
        <w:rPr>
          <w:rFonts w:ascii="David" w:eastAsia="Calibri" w:hAnsi="David"/>
          <w:noProof w:val="0"/>
          <w:rtl/>
        </w:rPr>
        <w:t xml:space="preserve">דברים אלו יפים </w:t>
      </w:r>
      <w:r w:rsidRPr="008A4492">
        <w:rPr>
          <w:rFonts w:ascii="David" w:eastAsia="Calibri" w:hAnsi="David"/>
          <w:noProof w:val="0"/>
          <w:rtl/>
        </w:rPr>
        <w:t>ביתר שאת</w:t>
      </w:r>
      <w:r w:rsidRPr="000B0530">
        <w:rPr>
          <w:rFonts w:ascii="David" w:eastAsia="Calibri" w:hAnsi="David"/>
          <w:noProof w:val="0"/>
          <w:rtl/>
        </w:rPr>
        <w:t xml:space="preserve"> בעניינו, עת כאמור הצוואה נערכה על רקע הליכי החקיקה של התיקון לחוק, כאשר סוגיה זו הייתה נתונה בדיון ציבורי ו"מונחת על השולחן", וככל שאומד דעת הצדדים הייתה להגביל שינוייה של הצוואה, הרי חזקה על עורך הצוואה שהיה מציין זאת </w:t>
      </w:r>
      <w:r w:rsidR="008C4196" w:rsidRPr="000B0530">
        <w:rPr>
          <w:rFonts w:ascii="David" w:eastAsia="Calibri" w:hAnsi="David" w:hint="cs"/>
          <w:noProof w:val="0"/>
          <w:rtl/>
        </w:rPr>
        <w:t xml:space="preserve">בלשון </w:t>
      </w:r>
      <w:r w:rsidRPr="000B0530">
        <w:rPr>
          <w:rFonts w:ascii="David" w:eastAsia="Calibri" w:hAnsi="David"/>
          <w:noProof w:val="0"/>
          <w:rtl/>
        </w:rPr>
        <w:t>מפורשת בצוואה, במסגרת סעיף 11 המתיר לצדדים לשנות את הצוואה בכל עת.</w:t>
      </w:r>
    </w:p>
    <w:p w:rsidR="000B0530" w:rsidRDefault="000B0530" w:rsidP="000B0530">
      <w:pPr>
        <w:pStyle w:val="ae"/>
        <w:rPr>
          <w:rFonts w:ascii="David" w:eastAsia="Calibri" w:hAnsi="David"/>
          <w:noProof w:val="0"/>
          <w:rtl/>
        </w:rPr>
      </w:pPr>
    </w:p>
    <w:p w:rsidR="00A94BC1" w:rsidRPr="00C70226" w:rsidRDefault="00C70226" w:rsidP="0060588E">
      <w:pPr>
        <w:numPr>
          <w:ilvl w:val="0"/>
          <w:numId w:val="4"/>
        </w:numPr>
        <w:spacing w:after="160" w:line="360" w:lineRule="auto"/>
        <w:ind w:left="368" w:hanging="510"/>
        <w:contextualSpacing/>
        <w:jc w:val="both"/>
        <w:rPr>
          <w:rFonts w:ascii="David" w:eastAsia="Calibri" w:hAnsi="David"/>
          <w:noProof w:val="0"/>
        </w:rPr>
      </w:pPr>
      <w:r w:rsidRPr="00C70226">
        <w:rPr>
          <w:rFonts w:ascii="David" w:eastAsia="Calibri" w:hAnsi="David" w:hint="cs"/>
          <w:noProof w:val="0"/>
          <w:rtl/>
        </w:rPr>
        <w:t>לעניין זה אוסיף</w:t>
      </w:r>
      <w:r w:rsidR="0060588E">
        <w:rPr>
          <w:rFonts w:ascii="David" w:eastAsia="Calibri" w:hAnsi="David" w:hint="cs"/>
          <w:noProof w:val="0"/>
          <w:rtl/>
        </w:rPr>
        <w:t>,</w:t>
      </w:r>
      <w:r w:rsidRPr="00C70226">
        <w:rPr>
          <w:rFonts w:ascii="David" w:eastAsia="Calibri" w:hAnsi="David" w:hint="cs"/>
          <w:noProof w:val="0"/>
          <w:rtl/>
        </w:rPr>
        <w:t xml:space="preserve"> כי </w:t>
      </w:r>
      <w:r w:rsidR="00310C00" w:rsidRPr="00C70226">
        <w:rPr>
          <w:rFonts w:ascii="David" w:eastAsia="Calibri" w:hAnsi="David"/>
          <w:noProof w:val="0"/>
          <w:rtl/>
        </w:rPr>
        <w:t xml:space="preserve">בעניין </w:t>
      </w:r>
      <w:r w:rsidR="00310C00" w:rsidRPr="00C70226">
        <w:rPr>
          <w:rFonts w:ascii="David" w:eastAsia="Calibri" w:hAnsi="David"/>
          <w:b/>
          <w:bCs/>
          <w:noProof w:val="0"/>
          <w:rtl/>
        </w:rPr>
        <w:t>וינשנקר</w:t>
      </w:r>
      <w:r w:rsidR="00310C00" w:rsidRPr="00C70226">
        <w:rPr>
          <w:rFonts w:ascii="David" w:eastAsia="Calibri" w:hAnsi="David"/>
          <w:noProof w:val="0"/>
          <w:rtl/>
        </w:rPr>
        <w:t xml:space="preserve"> </w:t>
      </w:r>
      <w:r w:rsidR="001E52FE" w:rsidRPr="00C70226">
        <w:rPr>
          <w:rFonts w:ascii="David" w:eastAsia="Calibri" w:hAnsi="David" w:hint="cs"/>
          <w:noProof w:val="0"/>
          <w:rtl/>
        </w:rPr>
        <w:t xml:space="preserve">הנ"ל </w:t>
      </w:r>
      <w:r w:rsidR="00310C00" w:rsidRPr="00C70226">
        <w:rPr>
          <w:rFonts w:ascii="David" w:eastAsia="Calibri" w:hAnsi="David"/>
          <w:noProof w:val="0"/>
          <w:rtl/>
        </w:rPr>
        <w:t xml:space="preserve">נידונה צוואה מיום 13.3.1975 (שנערכה לפני התיקון לחוק הירושה) ובה הייתה הוראה לפיה הצוואה תעמוד בתוקפה "כל זמן ששנינו </w:t>
      </w:r>
      <w:r w:rsidR="00310C00" w:rsidRPr="00C70226">
        <w:rPr>
          <w:rFonts w:ascii="David" w:eastAsia="Calibri" w:hAnsi="David"/>
          <w:b/>
          <w:bCs/>
          <w:noProof w:val="0"/>
          <w:rtl/>
        </w:rPr>
        <w:t>ביחד</w:t>
      </w:r>
      <w:r w:rsidR="00310C00" w:rsidRPr="00C70226">
        <w:rPr>
          <w:rFonts w:ascii="David" w:eastAsia="Calibri" w:hAnsi="David"/>
          <w:noProof w:val="0"/>
          <w:rtl/>
        </w:rPr>
        <w:t xml:space="preserve"> לא נבטל או נשנה אותה"- </w:t>
      </w:r>
      <w:r w:rsidR="001E52FE" w:rsidRPr="00C70226">
        <w:rPr>
          <w:rFonts w:ascii="David" w:eastAsia="Calibri" w:hAnsi="David"/>
          <w:noProof w:val="0"/>
          <w:rtl/>
        </w:rPr>
        <w:t xml:space="preserve">ביהמ"ש הורה על </w:t>
      </w:r>
      <w:r w:rsidR="001E52FE" w:rsidRPr="00C70226">
        <w:rPr>
          <w:rFonts w:ascii="David" w:eastAsia="Calibri" w:hAnsi="David"/>
          <w:b/>
          <w:bCs/>
          <w:noProof w:val="0"/>
          <w:rtl/>
        </w:rPr>
        <w:t>בטלותה של הוראה זו</w:t>
      </w:r>
      <w:r w:rsidR="001E52FE" w:rsidRPr="00C70226">
        <w:rPr>
          <w:rFonts w:ascii="David" w:eastAsia="Calibri" w:hAnsi="David"/>
          <w:noProof w:val="0"/>
          <w:rtl/>
        </w:rPr>
        <w:t xml:space="preserve"> </w:t>
      </w:r>
      <w:r w:rsidR="00310C00" w:rsidRPr="00C70226">
        <w:rPr>
          <w:rFonts w:ascii="David" w:eastAsia="Calibri" w:hAnsi="David"/>
          <w:noProof w:val="0"/>
          <w:rtl/>
        </w:rPr>
        <w:t>ורא</w:t>
      </w:r>
      <w:r w:rsidR="001E52FE" w:rsidRPr="00C70226">
        <w:rPr>
          <w:rFonts w:ascii="David" w:eastAsia="Calibri" w:hAnsi="David" w:hint="cs"/>
          <w:noProof w:val="0"/>
          <w:rtl/>
        </w:rPr>
        <w:t>ה</w:t>
      </w:r>
      <w:r w:rsidR="00310C00" w:rsidRPr="00C70226">
        <w:rPr>
          <w:rFonts w:ascii="David" w:eastAsia="Calibri" w:hAnsi="David"/>
          <w:noProof w:val="0"/>
          <w:rtl/>
        </w:rPr>
        <w:t xml:space="preserve"> בה כהתחייבות הנוגדת את הוראת סעיף 27 לחוק </w:t>
      </w:r>
      <w:r w:rsidR="0060588E">
        <w:rPr>
          <w:rFonts w:ascii="David" w:eastAsia="Calibri" w:hAnsi="David" w:hint="cs"/>
          <w:noProof w:val="0"/>
          <w:rtl/>
        </w:rPr>
        <w:t xml:space="preserve">הירושה </w:t>
      </w:r>
      <w:r w:rsidR="00310C00" w:rsidRPr="00C70226">
        <w:rPr>
          <w:rFonts w:ascii="David" w:eastAsia="Calibri" w:hAnsi="David"/>
          <w:noProof w:val="0"/>
          <w:rtl/>
        </w:rPr>
        <w:t>באשר היא מגבילה את זכות המצווה לשנות את הצוואה או לבטלה.</w:t>
      </w:r>
      <w:r w:rsidR="00310C00" w:rsidRPr="00C70226">
        <w:rPr>
          <w:rFonts w:ascii="David" w:eastAsia="Calibri" w:hAnsi="David" w:hint="cs"/>
          <w:noProof w:val="0"/>
          <w:rtl/>
        </w:rPr>
        <w:t xml:space="preserve"> דהיינו הוספת המילה "ביחד" בסעיף 11 </w:t>
      </w:r>
      <w:r w:rsidR="0060588E">
        <w:rPr>
          <w:rFonts w:ascii="David" w:eastAsia="Calibri" w:hAnsi="David" w:hint="cs"/>
          <w:noProof w:val="0"/>
          <w:rtl/>
        </w:rPr>
        <w:t>ל</w:t>
      </w:r>
      <w:r w:rsidR="00310C00" w:rsidRPr="00C70226">
        <w:rPr>
          <w:rFonts w:ascii="David" w:eastAsia="Calibri" w:hAnsi="David" w:hint="cs"/>
          <w:noProof w:val="0"/>
          <w:rtl/>
        </w:rPr>
        <w:t xml:space="preserve">צוואה </w:t>
      </w:r>
      <w:r w:rsidR="0060588E">
        <w:rPr>
          <w:rFonts w:ascii="David" w:eastAsia="Calibri" w:hAnsi="David" w:hint="cs"/>
          <w:noProof w:val="0"/>
          <w:rtl/>
        </w:rPr>
        <w:t>ה</w:t>
      </w:r>
      <w:r w:rsidR="00310C00" w:rsidRPr="00C70226">
        <w:rPr>
          <w:rFonts w:ascii="David" w:eastAsia="Calibri" w:hAnsi="David" w:hint="cs"/>
          <w:noProof w:val="0"/>
          <w:rtl/>
        </w:rPr>
        <w:t>קוד</w:t>
      </w:r>
      <w:r w:rsidR="0060588E">
        <w:rPr>
          <w:rFonts w:ascii="David" w:eastAsia="Calibri" w:hAnsi="David" w:hint="cs"/>
          <w:noProof w:val="0"/>
          <w:rtl/>
        </w:rPr>
        <w:t>מת</w:t>
      </w:r>
      <w:r w:rsidR="00310C00" w:rsidRPr="00C70226">
        <w:rPr>
          <w:rFonts w:ascii="David" w:eastAsia="Calibri" w:hAnsi="David" w:hint="cs"/>
          <w:noProof w:val="0"/>
          <w:rtl/>
        </w:rPr>
        <w:t xml:space="preserve"> </w:t>
      </w:r>
      <w:r w:rsidR="0060588E">
        <w:rPr>
          <w:rFonts w:ascii="David" w:eastAsia="Calibri" w:hAnsi="David" w:hint="cs"/>
          <w:noProof w:val="0"/>
          <w:rtl/>
        </w:rPr>
        <w:t>ל</w:t>
      </w:r>
      <w:r w:rsidR="00310C00" w:rsidRPr="00C70226">
        <w:rPr>
          <w:rFonts w:ascii="David" w:eastAsia="Calibri" w:hAnsi="David" w:hint="cs"/>
          <w:noProof w:val="0"/>
          <w:rtl/>
        </w:rPr>
        <w:t xml:space="preserve">תיקון לחוק, עלולה היתה להביא </w:t>
      </w:r>
      <w:r w:rsidR="00310C00" w:rsidRPr="00C70226">
        <w:rPr>
          <w:rFonts w:ascii="David" w:eastAsia="Calibri" w:hAnsi="David" w:hint="cs"/>
          <w:b/>
          <w:bCs/>
          <w:noProof w:val="0"/>
          <w:rtl/>
        </w:rPr>
        <w:t>לבטלות</w:t>
      </w:r>
      <w:r w:rsidR="00310C00" w:rsidRPr="00C70226">
        <w:rPr>
          <w:rFonts w:ascii="David" w:eastAsia="Calibri" w:hAnsi="David" w:hint="cs"/>
          <w:noProof w:val="0"/>
          <w:rtl/>
        </w:rPr>
        <w:t xml:space="preserve"> הסעיף האמור</w:t>
      </w:r>
      <w:r w:rsidR="0060588E">
        <w:rPr>
          <w:rFonts w:ascii="David" w:eastAsia="Calibri" w:hAnsi="David" w:hint="cs"/>
          <w:noProof w:val="0"/>
          <w:rtl/>
        </w:rPr>
        <w:t>;</w:t>
      </w:r>
      <w:r w:rsidR="00310C00" w:rsidRPr="00C70226">
        <w:rPr>
          <w:rFonts w:ascii="David" w:eastAsia="Calibri" w:hAnsi="David" w:hint="cs"/>
          <w:noProof w:val="0"/>
          <w:rtl/>
        </w:rPr>
        <w:t xml:space="preserve"> </w:t>
      </w:r>
      <w:r w:rsidR="0060588E">
        <w:rPr>
          <w:rFonts w:ascii="David" w:eastAsia="Calibri" w:hAnsi="David" w:hint="cs"/>
          <w:noProof w:val="0"/>
          <w:rtl/>
        </w:rPr>
        <w:t xml:space="preserve">פרשנות כאמור </w:t>
      </w:r>
      <w:r w:rsidR="00310C00" w:rsidRPr="00C70226">
        <w:rPr>
          <w:rFonts w:ascii="David" w:eastAsia="Calibri" w:hAnsi="David" w:hint="cs"/>
          <w:noProof w:val="0"/>
          <w:rtl/>
        </w:rPr>
        <w:t>עומד</w:t>
      </w:r>
      <w:r w:rsidR="0060588E">
        <w:rPr>
          <w:rFonts w:ascii="David" w:eastAsia="Calibri" w:hAnsi="David" w:hint="cs"/>
          <w:noProof w:val="0"/>
          <w:rtl/>
        </w:rPr>
        <w:t>ת</w:t>
      </w:r>
      <w:r w:rsidR="00310C00" w:rsidRPr="00C70226">
        <w:rPr>
          <w:rFonts w:ascii="David" w:eastAsia="Calibri" w:hAnsi="David" w:hint="cs"/>
          <w:noProof w:val="0"/>
          <w:rtl/>
        </w:rPr>
        <w:t xml:space="preserve"> בסתירה להוראות סעיף 3 לצווא</w:t>
      </w:r>
      <w:r w:rsidR="005B0961" w:rsidRPr="00C70226">
        <w:rPr>
          <w:rFonts w:ascii="David" w:eastAsia="Calibri" w:hAnsi="David" w:hint="cs"/>
          <w:noProof w:val="0"/>
          <w:rtl/>
        </w:rPr>
        <w:t>ה</w:t>
      </w:r>
      <w:r w:rsidR="00310C00" w:rsidRPr="00C70226">
        <w:rPr>
          <w:rFonts w:ascii="David" w:eastAsia="Calibri" w:hAnsi="David" w:hint="cs"/>
          <w:noProof w:val="0"/>
          <w:rtl/>
        </w:rPr>
        <w:t xml:space="preserve">, לפיה יש לפרש את הצוואה על פי הדעה </w:t>
      </w:r>
      <w:r w:rsidR="00310C00" w:rsidRPr="00C70226">
        <w:rPr>
          <w:rFonts w:ascii="David" w:eastAsia="Calibri" w:hAnsi="David" w:hint="cs"/>
          <w:b/>
          <w:bCs/>
          <w:noProof w:val="0"/>
          <w:rtl/>
        </w:rPr>
        <w:t>המקיימת את הצוואה</w:t>
      </w:r>
      <w:r>
        <w:rPr>
          <w:rFonts w:ascii="David" w:eastAsia="Calibri" w:hAnsi="David" w:hint="cs"/>
          <w:noProof w:val="0"/>
          <w:rtl/>
        </w:rPr>
        <w:t xml:space="preserve">; </w:t>
      </w:r>
      <w:r w:rsidR="006D74C5" w:rsidRPr="00C70226">
        <w:rPr>
          <w:rFonts w:ascii="David" w:eastAsia="Calibri" w:hAnsi="David" w:hint="cs"/>
          <w:noProof w:val="0"/>
          <w:rtl/>
        </w:rPr>
        <w:t>רא</w:t>
      </w:r>
      <w:r w:rsidR="00A94BC1" w:rsidRPr="00C70226">
        <w:rPr>
          <w:rFonts w:ascii="David" w:eastAsia="Calibri" w:hAnsi="David" w:hint="cs"/>
          <w:noProof w:val="0"/>
          <w:rtl/>
        </w:rPr>
        <w:t>ו</w:t>
      </w:r>
      <w:r w:rsidR="006D74C5" w:rsidRPr="00C70226">
        <w:rPr>
          <w:rFonts w:ascii="David" w:eastAsia="Calibri" w:hAnsi="David" w:hint="cs"/>
          <w:noProof w:val="0"/>
          <w:rtl/>
        </w:rPr>
        <w:t xml:space="preserve"> לעניין זה </w:t>
      </w:r>
      <w:r w:rsidR="00A94BC1" w:rsidRPr="00C70226">
        <w:rPr>
          <w:rFonts w:ascii="David" w:eastAsia="Calibri" w:hAnsi="David" w:hint="cs"/>
          <w:noProof w:val="0"/>
          <w:rtl/>
        </w:rPr>
        <w:t xml:space="preserve">גם </w:t>
      </w:r>
      <w:r w:rsidR="006D74C5" w:rsidRPr="00C70226">
        <w:rPr>
          <w:rFonts w:ascii="David" w:eastAsia="Calibri" w:hAnsi="David" w:hint="cs"/>
          <w:noProof w:val="0"/>
          <w:rtl/>
        </w:rPr>
        <w:t xml:space="preserve">סעיפים 39-42 לפסק דינה של הש' וילנר </w:t>
      </w:r>
      <w:r w:rsidR="006D74C5" w:rsidRPr="008A4492">
        <w:rPr>
          <w:rFonts w:ascii="David" w:eastAsia="Calibri" w:hAnsi="David" w:hint="cs"/>
          <w:noProof w:val="0"/>
          <w:rtl/>
        </w:rPr>
        <w:t>בבע"מ 7884/23</w:t>
      </w:r>
      <w:r w:rsidRPr="00C70226">
        <w:rPr>
          <w:rFonts w:ascii="David" w:eastAsia="Calibri" w:hAnsi="David" w:hint="cs"/>
          <w:noProof w:val="0"/>
          <w:rtl/>
        </w:rPr>
        <w:t xml:space="preserve"> הנ"ל</w:t>
      </w:r>
      <w:r w:rsidR="00A94BC1" w:rsidRPr="00C70226">
        <w:rPr>
          <w:rFonts w:ascii="David" w:eastAsia="Calibri" w:hAnsi="David" w:hint="cs"/>
          <w:noProof w:val="0"/>
          <w:rtl/>
        </w:rPr>
        <w:t>.</w:t>
      </w:r>
    </w:p>
    <w:p w:rsidR="00A94BC1" w:rsidRPr="00C70226" w:rsidRDefault="00A94BC1" w:rsidP="00A94BC1">
      <w:pPr>
        <w:pStyle w:val="ae"/>
        <w:rPr>
          <w:rFonts w:ascii="David" w:eastAsia="Calibri" w:hAnsi="David"/>
          <w:noProof w:val="0"/>
          <w:highlight w:val="magenta"/>
          <w:rtl/>
        </w:rPr>
      </w:pPr>
    </w:p>
    <w:p w:rsidR="00C70226" w:rsidRDefault="008C4196" w:rsidP="00C70226">
      <w:pPr>
        <w:numPr>
          <w:ilvl w:val="0"/>
          <w:numId w:val="4"/>
        </w:numPr>
        <w:spacing w:after="160" w:line="360" w:lineRule="auto"/>
        <w:ind w:left="368" w:hanging="510"/>
        <w:contextualSpacing/>
        <w:jc w:val="both"/>
        <w:rPr>
          <w:rFonts w:ascii="David" w:eastAsia="Calibri" w:hAnsi="David"/>
          <w:noProof w:val="0"/>
        </w:rPr>
      </w:pPr>
      <w:r w:rsidRPr="00B137A6">
        <w:rPr>
          <w:rFonts w:ascii="David" w:eastAsia="Calibri" w:hAnsi="David" w:hint="cs"/>
          <w:noProof w:val="0"/>
          <w:rtl/>
        </w:rPr>
        <w:lastRenderedPageBreak/>
        <w:t xml:space="preserve">על אף שכאמור סבורתני כי לשון הצוואה לעניין זה נהירה, ואינה סובלת שני פירושים, </w:t>
      </w:r>
      <w:r w:rsidR="00DC6BF5" w:rsidRPr="00B137A6">
        <w:rPr>
          <w:rFonts w:ascii="David" w:eastAsia="Calibri" w:hAnsi="David" w:hint="cs"/>
          <w:noProof w:val="0"/>
          <w:rtl/>
        </w:rPr>
        <w:t xml:space="preserve">למעלה מן הצורך </w:t>
      </w:r>
      <w:r w:rsidRPr="00B137A6">
        <w:rPr>
          <w:rFonts w:ascii="David" w:eastAsia="Calibri" w:hAnsi="David" w:hint="cs"/>
          <w:noProof w:val="0"/>
          <w:rtl/>
        </w:rPr>
        <w:t>אציין</w:t>
      </w:r>
      <w:r w:rsidR="008A4492">
        <w:rPr>
          <w:rFonts w:ascii="David" w:eastAsia="Calibri" w:hAnsi="David" w:hint="cs"/>
          <w:noProof w:val="0"/>
          <w:rtl/>
        </w:rPr>
        <w:t>,</w:t>
      </w:r>
      <w:r w:rsidRPr="00B137A6">
        <w:rPr>
          <w:rFonts w:ascii="David" w:eastAsia="Calibri" w:hAnsi="David" w:hint="cs"/>
          <w:noProof w:val="0"/>
          <w:rtl/>
        </w:rPr>
        <w:t xml:space="preserve"> </w:t>
      </w:r>
      <w:r w:rsidR="00C70226">
        <w:rPr>
          <w:rFonts w:ascii="David" w:eastAsia="Calibri" w:hAnsi="David" w:hint="cs"/>
          <w:noProof w:val="0"/>
          <w:rtl/>
        </w:rPr>
        <w:t xml:space="preserve">כי אף אם אנקוט בגישת הפרשנות החד שלבית, ואבחן את </w:t>
      </w:r>
      <w:r w:rsidR="00C70226">
        <w:rPr>
          <w:rFonts w:ascii="David" w:eastAsia="Calibri" w:hAnsi="David" w:hint="cs"/>
          <w:b/>
          <w:bCs/>
          <w:noProof w:val="0"/>
          <w:rtl/>
        </w:rPr>
        <w:t>ה</w:t>
      </w:r>
      <w:r w:rsidR="00D63426" w:rsidRPr="00B137A6">
        <w:rPr>
          <w:rFonts w:ascii="David" w:eastAsia="Calibri" w:hAnsi="David" w:hint="cs"/>
          <w:b/>
          <w:bCs/>
          <w:noProof w:val="0"/>
          <w:rtl/>
        </w:rPr>
        <w:t>נסיבות החיצוניות לעריכת הצוואה</w:t>
      </w:r>
      <w:r w:rsidR="00D63426" w:rsidRPr="00B137A6">
        <w:rPr>
          <w:rFonts w:ascii="David" w:eastAsia="Calibri" w:hAnsi="David" w:hint="cs"/>
          <w:noProof w:val="0"/>
          <w:rtl/>
        </w:rPr>
        <w:t xml:space="preserve"> </w:t>
      </w:r>
      <w:r w:rsidRPr="00B137A6">
        <w:rPr>
          <w:rFonts w:ascii="David" w:eastAsia="Calibri" w:hAnsi="David"/>
          <w:noProof w:val="0"/>
          <w:rtl/>
        </w:rPr>
        <w:t>–</w:t>
      </w:r>
      <w:r w:rsidR="00D63426" w:rsidRPr="00B137A6">
        <w:rPr>
          <w:rFonts w:ascii="David" w:eastAsia="Calibri" w:hAnsi="David" w:hint="cs"/>
          <w:noProof w:val="0"/>
          <w:rtl/>
        </w:rPr>
        <w:t xml:space="preserve"> </w:t>
      </w:r>
      <w:r w:rsidR="0060588E">
        <w:rPr>
          <w:rFonts w:ascii="David" w:eastAsia="Calibri" w:hAnsi="David" w:hint="cs"/>
          <w:noProof w:val="0"/>
          <w:rtl/>
        </w:rPr>
        <w:t>הרי ש</w:t>
      </w:r>
      <w:r w:rsidR="00C70226">
        <w:rPr>
          <w:rFonts w:ascii="David" w:eastAsia="Calibri" w:hAnsi="David" w:hint="cs"/>
          <w:noProof w:val="0"/>
          <w:rtl/>
        </w:rPr>
        <w:t xml:space="preserve">לא הוקמה לפני תשתית מתאימה </w:t>
      </w:r>
      <w:r w:rsidR="00D60789" w:rsidRPr="00B137A6">
        <w:rPr>
          <w:rFonts w:ascii="David" w:eastAsia="Calibri" w:hAnsi="David" w:hint="cs"/>
          <w:noProof w:val="0"/>
          <w:rtl/>
        </w:rPr>
        <w:t xml:space="preserve">על מנת לבסס הענקת </w:t>
      </w:r>
      <w:r w:rsidR="00D60789" w:rsidRPr="00B137A6">
        <w:rPr>
          <w:rFonts w:ascii="David" w:eastAsia="Calibri" w:hAnsi="David"/>
          <w:noProof w:val="0"/>
          <w:rtl/>
        </w:rPr>
        <w:t xml:space="preserve">פרשנות </w:t>
      </w:r>
      <w:r w:rsidR="00D60789" w:rsidRPr="00B137A6">
        <w:rPr>
          <w:rFonts w:ascii="David" w:eastAsia="Calibri" w:hAnsi="David" w:hint="cs"/>
          <w:noProof w:val="0"/>
          <w:rtl/>
        </w:rPr>
        <w:t>שונה ל</w:t>
      </w:r>
      <w:r w:rsidR="00D60789" w:rsidRPr="00B137A6">
        <w:rPr>
          <w:rFonts w:ascii="David" w:eastAsia="Calibri" w:hAnsi="David"/>
          <w:noProof w:val="0"/>
          <w:rtl/>
        </w:rPr>
        <w:t>צוואה</w:t>
      </w:r>
      <w:r w:rsidR="00B137A6" w:rsidRPr="00B137A6">
        <w:rPr>
          <w:rFonts w:ascii="David" w:eastAsia="Calibri" w:hAnsi="David" w:hint="cs"/>
          <w:noProof w:val="0"/>
          <w:rtl/>
        </w:rPr>
        <w:t>, באופן המאפשר</w:t>
      </w:r>
      <w:r w:rsidR="00D60789" w:rsidRPr="00B137A6">
        <w:rPr>
          <w:rFonts w:ascii="David" w:eastAsia="Calibri" w:hAnsi="David" w:hint="cs"/>
          <w:noProof w:val="0"/>
          <w:rtl/>
        </w:rPr>
        <w:t xml:space="preserve"> שינוי משותף בלבד והוספת המילה "ביחד" להור</w:t>
      </w:r>
      <w:r w:rsidR="00B137A6" w:rsidRPr="00B137A6">
        <w:rPr>
          <w:rFonts w:ascii="David" w:eastAsia="Calibri" w:hAnsi="David" w:hint="cs"/>
          <w:noProof w:val="0"/>
          <w:rtl/>
        </w:rPr>
        <w:t>את סעיף 11 לה</w:t>
      </w:r>
      <w:r w:rsidR="00C70226">
        <w:rPr>
          <w:rFonts w:ascii="David" w:eastAsia="Calibri" w:hAnsi="David" w:hint="cs"/>
          <w:noProof w:val="0"/>
          <w:rtl/>
        </w:rPr>
        <w:t xml:space="preserve"> מנסיבות עריכתה</w:t>
      </w:r>
      <w:r w:rsidR="00B137A6" w:rsidRPr="00B137A6">
        <w:rPr>
          <w:rFonts w:ascii="David" w:eastAsia="Calibri" w:hAnsi="David" w:hint="cs"/>
          <w:noProof w:val="0"/>
          <w:rtl/>
        </w:rPr>
        <w:t>.</w:t>
      </w:r>
      <w:r w:rsidR="00D60789" w:rsidRPr="00B137A6">
        <w:rPr>
          <w:rFonts w:ascii="David" w:eastAsia="Calibri" w:hAnsi="David" w:hint="cs"/>
          <w:noProof w:val="0"/>
          <w:rtl/>
        </w:rPr>
        <w:t xml:space="preserve"> </w:t>
      </w:r>
    </w:p>
    <w:p w:rsidR="00C70226" w:rsidRDefault="00C70226" w:rsidP="00C70226">
      <w:pPr>
        <w:pStyle w:val="ae"/>
        <w:rPr>
          <w:rFonts w:ascii="David" w:eastAsia="Calibri" w:hAnsi="David"/>
          <w:noProof w:val="0"/>
          <w:rtl/>
        </w:rPr>
      </w:pPr>
    </w:p>
    <w:p w:rsidR="00B137A6" w:rsidRPr="00C70226" w:rsidRDefault="00B137A6" w:rsidP="00E27EC7">
      <w:pPr>
        <w:numPr>
          <w:ilvl w:val="0"/>
          <w:numId w:val="4"/>
        </w:numPr>
        <w:spacing w:after="160" w:line="360" w:lineRule="auto"/>
        <w:ind w:left="368" w:hanging="510"/>
        <w:contextualSpacing/>
        <w:jc w:val="both"/>
        <w:rPr>
          <w:rFonts w:ascii="David" w:eastAsia="Calibri" w:hAnsi="David"/>
          <w:noProof w:val="0"/>
        </w:rPr>
      </w:pPr>
      <w:r w:rsidRPr="00C70226">
        <w:rPr>
          <w:rFonts w:ascii="David" w:eastAsia="Calibri" w:hAnsi="David" w:hint="cs"/>
          <w:noProof w:val="0"/>
          <w:rtl/>
        </w:rPr>
        <w:t xml:space="preserve">לעניין זה, </w:t>
      </w:r>
      <w:r w:rsidR="00D60789" w:rsidRPr="00C70226">
        <w:rPr>
          <w:rFonts w:ascii="David" w:eastAsia="Calibri" w:hAnsi="David" w:hint="cs"/>
          <w:noProof w:val="0"/>
          <w:rtl/>
        </w:rPr>
        <w:t>הסכמת</w:t>
      </w:r>
      <w:r w:rsidR="00C70226" w:rsidRPr="00C70226">
        <w:rPr>
          <w:rFonts w:ascii="David" w:eastAsia="Calibri" w:hAnsi="David" w:hint="cs"/>
          <w:noProof w:val="0"/>
          <w:rtl/>
        </w:rPr>
        <w:t xml:space="preserve"> </w:t>
      </w:r>
      <w:r w:rsidR="00D60789" w:rsidRPr="00C70226">
        <w:rPr>
          <w:rFonts w:ascii="David" w:eastAsia="Calibri" w:hAnsi="David" w:hint="cs"/>
          <w:noProof w:val="0"/>
          <w:rtl/>
        </w:rPr>
        <w:t>ה</w:t>
      </w:r>
      <w:r w:rsidR="00C70226" w:rsidRPr="00C70226">
        <w:rPr>
          <w:rFonts w:ascii="David" w:eastAsia="Calibri" w:hAnsi="David" w:hint="cs"/>
          <w:noProof w:val="0"/>
          <w:rtl/>
        </w:rPr>
        <w:t>מבקשות</w:t>
      </w:r>
      <w:r w:rsidR="00D60789" w:rsidRPr="00C70226">
        <w:rPr>
          <w:rFonts w:ascii="David" w:eastAsia="Calibri" w:hAnsi="David"/>
          <w:noProof w:val="0"/>
          <w:rtl/>
        </w:rPr>
        <w:t xml:space="preserve"> </w:t>
      </w:r>
      <w:r w:rsidR="000B3BC4" w:rsidRPr="00C70226">
        <w:rPr>
          <w:rFonts w:ascii="David" w:eastAsia="Calibri" w:hAnsi="David" w:hint="cs"/>
          <w:noProof w:val="0"/>
          <w:rtl/>
        </w:rPr>
        <w:t>להכריע בטענה המקדמית על סמך ס</w:t>
      </w:r>
      <w:r w:rsidR="00305D22" w:rsidRPr="00C70226">
        <w:rPr>
          <w:rFonts w:ascii="David" w:eastAsia="Calibri" w:hAnsi="David" w:hint="cs"/>
          <w:noProof w:val="0"/>
          <w:rtl/>
        </w:rPr>
        <w:t>יכום טענות בלבד, ומבלי להביא לעד</w:t>
      </w:r>
      <w:r w:rsidR="000B3BC4" w:rsidRPr="00C70226">
        <w:rPr>
          <w:rFonts w:ascii="David" w:eastAsia="Calibri" w:hAnsi="David" w:hint="cs"/>
          <w:noProof w:val="0"/>
          <w:rtl/>
        </w:rPr>
        <w:t xml:space="preserve">ות </w:t>
      </w:r>
      <w:r w:rsidR="00E34603" w:rsidRPr="00C70226">
        <w:rPr>
          <w:rFonts w:ascii="David" w:eastAsia="Calibri" w:hAnsi="David"/>
          <w:noProof w:val="0"/>
          <w:rtl/>
        </w:rPr>
        <w:t xml:space="preserve">את </w:t>
      </w:r>
      <w:r w:rsidR="000B3BC4" w:rsidRPr="00C70226">
        <w:rPr>
          <w:rFonts w:ascii="David" w:eastAsia="Calibri" w:hAnsi="David" w:hint="cs"/>
          <w:noProof w:val="0"/>
          <w:rtl/>
        </w:rPr>
        <w:t xml:space="preserve">עורך הצוואה, </w:t>
      </w:r>
      <w:r w:rsidR="00E34603" w:rsidRPr="00C70226">
        <w:rPr>
          <w:rFonts w:ascii="David" w:eastAsia="Calibri" w:hAnsi="David"/>
          <w:noProof w:val="0"/>
          <w:rtl/>
        </w:rPr>
        <w:t>עוה"ד ג'ובראן</w:t>
      </w:r>
      <w:r w:rsidR="000B3BC4" w:rsidRPr="00C70226">
        <w:rPr>
          <w:rFonts w:ascii="David" w:eastAsia="Calibri" w:hAnsi="David" w:hint="cs"/>
          <w:noProof w:val="0"/>
          <w:rtl/>
        </w:rPr>
        <w:t xml:space="preserve">, </w:t>
      </w:r>
      <w:r w:rsidR="003E74F9" w:rsidRPr="00C70226">
        <w:rPr>
          <w:rFonts w:ascii="David" w:eastAsia="Calibri" w:hAnsi="David" w:hint="cs"/>
          <w:noProof w:val="0"/>
          <w:rtl/>
        </w:rPr>
        <w:t>נזקפת</w:t>
      </w:r>
      <w:r w:rsidR="000B3BC4" w:rsidRPr="00C70226">
        <w:rPr>
          <w:rFonts w:ascii="David" w:eastAsia="Calibri" w:hAnsi="David" w:hint="cs"/>
          <w:noProof w:val="0"/>
          <w:rtl/>
        </w:rPr>
        <w:t xml:space="preserve"> לחובת</w:t>
      </w:r>
      <w:r w:rsidR="00C70226" w:rsidRPr="00C70226">
        <w:rPr>
          <w:rFonts w:ascii="David" w:eastAsia="Calibri" w:hAnsi="David" w:hint="cs"/>
          <w:noProof w:val="0"/>
          <w:rtl/>
        </w:rPr>
        <w:t>ן</w:t>
      </w:r>
      <w:r w:rsidR="00D60789" w:rsidRPr="00C70226">
        <w:rPr>
          <w:rFonts w:ascii="David" w:eastAsia="Calibri" w:hAnsi="David" w:hint="cs"/>
          <w:noProof w:val="0"/>
          <w:rtl/>
        </w:rPr>
        <w:t xml:space="preserve"> לעניין זה</w:t>
      </w:r>
      <w:r w:rsidR="00C70226" w:rsidRPr="00C70226">
        <w:rPr>
          <w:rFonts w:ascii="David" w:eastAsia="Calibri" w:hAnsi="David" w:hint="cs"/>
          <w:noProof w:val="0"/>
          <w:rtl/>
        </w:rPr>
        <w:t xml:space="preserve">, והן לא הרימו את הנטל להוכיח כי הנסיבות מצדיקות הענקת פרשנות שונה להוראות הצוואה המקימה מניעות לשנותה; </w:t>
      </w:r>
      <w:r w:rsidR="007132A6" w:rsidRPr="00C70226">
        <w:rPr>
          <w:rFonts w:ascii="David" w:eastAsia="Calibri" w:hAnsi="David"/>
          <w:noProof w:val="0"/>
          <w:rtl/>
        </w:rPr>
        <w:t xml:space="preserve">כפי שנפסק לא אחת, אי-הבאתו של עד רלוונטי </w:t>
      </w:r>
      <w:r w:rsidRPr="00C70226">
        <w:rPr>
          <w:rFonts w:ascii="David" w:eastAsia="Calibri" w:hAnsi="David" w:hint="cs"/>
          <w:noProof w:val="0"/>
          <w:rtl/>
        </w:rPr>
        <w:t>מקימה חזקה</w:t>
      </w:r>
      <w:r w:rsidR="00F54F7E" w:rsidRPr="00C70226">
        <w:rPr>
          <w:rFonts w:ascii="David" w:eastAsia="Calibri" w:hAnsi="David" w:hint="cs"/>
          <w:noProof w:val="0"/>
          <w:rtl/>
        </w:rPr>
        <w:t xml:space="preserve"> כי עדותו לא תסייע ל</w:t>
      </w:r>
      <w:r w:rsidR="007132A6" w:rsidRPr="00C70226">
        <w:rPr>
          <w:rFonts w:ascii="David" w:eastAsia="Calibri" w:hAnsi="David"/>
          <w:noProof w:val="0"/>
          <w:rtl/>
        </w:rPr>
        <w:t xml:space="preserve">בעל הדין, שנמנע מהבאתו. לעניין המשמעות לאי העדת עד רלוונטי ראו: ע"א 465/88 </w:t>
      </w:r>
      <w:r w:rsidR="007132A6" w:rsidRPr="00C70226">
        <w:rPr>
          <w:rFonts w:ascii="David" w:eastAsia="Calibri" w:hAnsi="David"/>
          <w:b/>
          <w:bCs/>
          <w:noProof w:val="0"/>
          <w:rtl/>
        </w:rPr>
        <w:t>הבנק למימון ולסחר בע"מ נ' סלימה מתתיהו</w:t>
      </w:r>
      <w:r w:rsidR="007132A6" w:rsidRPr="00C70226">
        <w:rPr>
          <w:rFonts w:ascii="David" w:eastAsia="Calibri" w:hAnsi="David"/>
          <w:noProof w:val="0"/>
          <w:rtl/>
        </w:rPr>
        <w:t xml:space="preserve">, פ"ד </w:t>
      </w:r>
      <w:r w:rsidRPr="00C70226">
        <w:rPr>
          <w:rFonts w:ascii="David" w:eastAsia="Calibri" w:hAnsi="David"/>
          <w:noProof w:val="0"/>
          <w:rtl/>
        </w:rPr>
        <w:t>מה(4) 651 (1991) והאזכורים שם.‏</w:t>
      </w:r>
    </w:p>
    <w:p w:rsidR="00B137A6" w:rsidRDefault="00B137A6" w:rsidP="00B137A6">
      <w:pPr>
        <w:pStyle w:val="ae"/>
        <w:rPr>
          <w:rFonts w:ascii="David" w:eastAsia="Calibri" w:hAnsi="David"/>
          <w:noProof w:val="0"/>
          <w:rtl/>
        </w:rPr>
      </w:pPr>
    </w:p>
    <w:p w:rsidR="00B137A6" w:rsidRDefault="00C70226" w:rsidP="004A3A4F">
      <w:pPr>
        <w:numPr>
          <w:ilvl w:val="0"/>
          <w:numId w:val="4"/>
        </w:numPr>
        <w:spacing w:after="160" w:line="360" w:lineRule="auto"/>
        <w:ind w:left="368" w:hanging="510"/>
        <w:contextualSpacing/>
        <w:jc w:val="both"/>
        <w:rPr>
          <w:rFonts w:ascii="David" w:eastAsia="Calibri" w:hAnsi="David"/>
          <w:noProof w:val="0"/>
        </w:rPr>
      </w:pPr>
      <w:r>
        <w:rPr>
          <w:rFonts w:ascii="David" w:eastAsia="Calibri" w:hAnsi="David" w:hint="cs"/>
          <w:noProof w:val="0"/>
          <w:rtl/>
        </w:rPr>
        <w:t xml:space="preserve">הנה כי כן </w:t>
      </w:r>
      <w:r w:rsidR="00310C00" w:rsidRPr="00B137A6">
        <w:rPr>
          <w:rFonts w:ascii="David" w:eastAsia="Calibri" w:hAnsi="David" w:hint="cs"/>
          <w:noProof w:val="0"/>
          <w:rtl/>
        </w:rPr>
        <w:t>בעניינו אנו</w:t>
      </w:r>
      <w:r w:rsidR="00E34603" w:rsidRPr="00B137A6">
        <w:rPr>
          <w:rFonts w:ascii="David" w:eastAsia="Calibri" w:hAnsi="David"/>
          <w:noProof w:val="0"/>
          <w:rtl/>
        </w:rPr>
        <w:t xml:space="preserve">, לא הובאו כל ראיות שיש בהן </w:t>
      </w:r>
      <w:r w:rsidR="00F54F7E" w:rsidRPr="00B137A6">
        <w:rPr>
          <w:rFonts w:ascii="David" w:eastAsia="Calibri" w:hAnsi="David" w:hint="cs"/>
          <w:noProof w:val="0"/>
          <w:rtl/>
        </w:rPr>
        <w:t xml:space="preserve">להקים </w:t>
      </w:r>
      <w:r w:rsidR="00E34603" w:rsidRPr="00B137A6">
        <w:rPr>
          <w:rFonts w:ascii="David" w:eastAsia="Calibri" w:hAnsi="David"/>
          <w:noProof w:val="0"/>
          <w:rtl/>
        </w:rPr>
        <w:t xml:space="preserve">תשתית עובדתית, שהיה בה לבסס את הנטען אודות </w:t>
      </w:r>
      <w:r w:rsidR="00F54F7E" w:rsidRPr="00B137A6">
        <w:rPr>
          <w:rFonts w:ascii="David" w:eastAsia="Calibri" w:hAnsi="David" w:hint="cs"/>
          <w:noProof w:val="0"/>
          <w:rtl/>
        </w:rPr>
        <w:t xml:space="preserve">רצונם של המנוחים לאסור על הצד שיוותר בחיים שינוי חד צדדי של הצוואה או </w:t>
      </w:r>
      <w:r w:rsidR="00E34603" w:rsidRPr="00B137A6">
        <w:rPr>
          <w:rFonts w:ascii="David" w:eastAsia="Calibri" w:hAnsi="David"/>
          <w:noProof w:val="0"/>
          <w:rtl/>
        </w:rPr>
        <w:t>הסתמכות של מי מהמנוחים</w:t>
      </w:r>
      <w:r w:rsidR="00DC6BF5" w:rsidRPr="00B137A6">
        <w:rPr>
          <w:rFonts w:ascii="David" w:eastAsia="Calibri" w:hAnsi="David" w:hint="cs"/>
          <w:noProof w:val="0"/>
          <w:rtl/>
        </w:rPr>
        <w:t xml:space="preserve"> שלפני</w:t>
      </w:r>
      <w:r w:rsidR="00E34603" w:rsidRPr="00B137A6">
        <w:rPr>
          <w:rFonts w:ascii="David" w:eastAsia="Calibri" w:hAnsi="David"/>
          <w:noProof w:val="0"/>
          <w:rtl/>
        </w:rPr>
        <w:t xml:space="preserve"> (בשעת עריכת הצוואה), כי כל אחד מהם לא ישנה את צוו</w:t>
      </w:r>
      <w:r w:rsidR="001D7276" w:rsidRPr="00B137A6">
        <w:rPr>
          <w:rFonts w:ascii="David" w:eastAsia="Calibri" w:hAnsi="David"/>
          <w:noProof w:val="0"/>
          <w:rtl/>
        </w:rPr>
        <w:t>אתו לאחר לכתו לעולמו של בן זוגו</w:t>
      </w:r>
      <w:r w:rsidR="001D7276" w:rsidRPr="00B137A6">
        <w:rPr>
          <w:rFonts w:ascii="David" w:eastAsia="Calibri" w:hAnsi="David" w:hint="cs"/>
          <w:noProof w:val="0"/>
          <w:rtl/>
        </w:rPr>
        <w:t>; וכאמור לא ניתן ללמוד על הסתמכות מעין זה אך על בסיס לשון הרבים שננקטה בסעיף 11 לצוואה</w:t>
      </w:r>
      <w:r w:rsidR="0060588E">
        <w:rPr>
          <w:rFonts w:ascii="David" w:eastAsia="Calibri" w:hAnsi="David" w:hint="cs"/>
          <w:noProof w:val="0"/>
          <w:rtl/>
        </w:rPr>
        <w:t xml:space="preserve"> </w:t>
      </w:r>
      <w:r w:rsidR="004A3A4F">
        <w:rPr>
          <w:rFonts w:ascii="David" w:eastAsia="Calibri" w:hAnsi="David" w:hint="cs"/>
          <w:noProof w:val="0"/>
          <w:rtl/>
        </w:rPr>
        <w:t>ואף לא</w:t>
      </w:r>
      <w:r w:rsidR="0060588E">
        <w:rPr>
          <w:rFonts w:ascii="David" w:eastAsia="Calibri" w:hAnsi="David" w:hint="cs"/>
          <w:noProof w:val="0"/>
          <w:rtl/>
        </w:rPr>
        <w:t xml:space="preserve"> מיתר הוראות הצוואה</w:t>
      </w:r>
      <w:r w:rsidR="001D7276" w:rsidRPr="00B137A6">
        <w:rPr>
          <w:rFonts w:ascii="David" w:eastAsia="Calibri" w:hAnsi="David" w:hint="cs"/>
          <w:noProof w:val="0"/>
          <w:rtl/>
        </w:rPr>
        <w:t xml:space="preserve">. </w:t>
      </w:r>
    </w:p>
    <w:p w:rsidR="00B137A6" w:rsidRPr="0060588E" w:rsidRDefault="00B137A6" w:rsidP="00B137A6">
      <w:pPr>
        <w:pStyle w:val="ae"/>
        <w:rPr>
          <w:rFonts w:ascii="David" w:eastAsia="Calibri" w:hAnsi="David"/>
          <w:noProof w:val="0"/>
          <w:rtl/>
        </w:rPr>
      </w:pPr>
    </w:p>
    <w:p w:rsidR="00B137A6" w:rsidRDefault="001D7276" w:rsidP="0060588E">
      <w:pPr>
        <w:numPr>
          <w:ilvl w:val="0"/>
          <w:numId w:val="4"/>
        </w:numPr>
        <w:spacing w:after="160" w:line="360" w:lineRule="auto"/>
        <w:ind w:left="368" w:hanging="510"/>
        <w:contextualSpacing/>
        <w:jc w:val="both"/>
        <w:rPr>
          <w:rFonts w:ascii="David" w:eastAsia="Calibri" w:hAnsi="David"/>
          <w:noProof w:val="0"/>
        </w:rPr>
      </w:pPr>
      <w:r w:rsidRPr="00B137A6">
        <w:rPr>
          <w:rFonts w:ascii="David" w:eastAsia="Calibri" w:hAnsi="David" w:hint="cs"/>
          <w:noProof w:val="0"/>
          <w:rtl/>
        </w:rPr>
        <w:t>לעניין עקרון ההסתמכות של המנוחים הנלמד</w:t>
      </w:r>
      <w:r w:rsidR="0060588E">
        <w:rPr>
          <w:rFonts w:ascii="David" w:eastAsia="Calibri" w:hAnsi="David" w:hint="cs"/>
          <w:noProof w:val="0"/>
          <w:rtl/>
        </w:rPr>
        <w:t>,</w:t>
      </w:r>
      <w:r w:rsidRPr="00B137A6">
        <w:rPr>
          <w:rFonts w:ascii="David" w:eastAsia="Calibri" w:hAnsi="David" w:hint="cs"/>
          <w:noProof w:val="0"/>
          <w:rtl/>
        </w:rPr>
        <w:t xml:space="preserve"> לשיטת המבקשת וב"כ היועמ"ש</w:t>
      </w:r>
      <w:r w:rsidR="0060588E">
        <w:rPr>
          <w:rFonts w:ascii="David" w:eastAsia="Calibri" w:hAnsi="David" w:hint="cs"/>
          <w:noProof w:val="0"/>
          <w:rtl/>
        </w:rPr>
        <w:t>,</w:t>
      </w:r>
      <w:r w:rsidRPr="00B137A6">
        <w:rPr>
          <w:rFonts w:ascii="David" w:eastAsia="Calibri" w:hAnsi="David" w:hint="cs"/>
          <w:noProof w:val="0"/>
          <w:rtl/>
        </w:rPr>
        <w:t xml:space="preserve"> </w:t>
      </w:r>
      <w:r w:rsidR="00C70226">
        <w:rPr>
          <w:rFonts w:ascii="David" w:eastAsia="Calibri" w:hAnsi="David" w:hint="cs"/>
          <w:noProof w:val="0"/>
          <w:rtl/>
        </w:rPr>
        <w:t>מהוראת</w:t>
      </w:r>
      <w:r w:rsidRPr="00B137A6">
        <w:rPr>
          <w:rFonts w:ascii="David" w:eastAsia="Calibri" w:hAnsi="David" w:hint="cs"/>
          <w:noProof w:val="0"/>
          <w:rtl/>
        </w:rPr>
        <w:t xml:space="preserve"> סעיף 11 אף לנוכח יתר הוראות הצוואה, ובפרט סעיף 5 לה, אדרש להלן בדיון המתמקד במחלוקת שנתגלעה בין הצדדים אודות פרשנות הוראת סעיף  5 לצוואה. עם זאת אציין כבר עתה כי לא מצאתי מקום להניח הנחה עקרונית בדבר הסתמכותם של </w:t>
      </w:r>
      <w:r w:rsidR="00C70226">
        <w:rPr>
          <w:rFonts w:ascii="David" w:eastAsia="Calibri" w:hAnsi="David" w:hint="cs"/>
          <w:noProof w:val="0"/>
          <w:rtl/>
        </w:rPr>
        <w:t>ה</w:t>
      </w:r>
      <w:r w:rsidRPr="00B137A6">
        <w:rPr>
          <w:rFonts w:ascii="David" w:eastAsia="Calibri" w:hAnsi="David" w:hint="cs"/>
          <w:noProof w:val="0"/>
          <w:rtl/>
        </w:rPr>
        <w:t>מנוחים</w:t>
      </w:r>
      <w:r w:rsidR="0060588E">
        <w:rPr>
          <w:rFonts w:ascii="David" w:eastAsia="Calibri" w:hAnsi="David" w:hint="cs"/>
          <w:noProof w:val="0"/>
          <w:rtl/>
        </w:rPr>
        <w:t xml:space="preserve"> המגבילה את שינוי הצוואה ההדדית</w:t>
      </w:r>
      <w:r w:rsidRPr="00B137A6">
        <w:rPr>
          <w:rFonts w:ascii="David" w:eastAsia="Calibri" w:hAnsi="David" w:hint="cs"/>
          <w:noProof w:val="0"/>
          <w:rtl/>
        </w:rPr>
        <w:t xml:space="preserve">, עת עסקינן בצוואה שנערכה </w:t>
      </w:r>
      <w:r w:rsidRPr="00B137A6">
        <w:rPr>
          <w:rFonts w:ascii="David" w:eastAsia="Calibri" w:hAnsi="David" w:hint="cs"/>
          <w:b/>
          <w:bCs/>
          <w:noProof w:val="0"/>
          <w:rtl/>
        </w:rPr>
        <w:t>לפני התיקון לחוק</w:t>
      </w:r>
      <w:r w:rsidRPr="00B137A6">
        <w:rPr>
          <w:rFonts w:ascii="David" w:eastAsia="Calibri" w:hAnsi="David" w:hint="cs"/>
          <w:noProof w:val="0"/>
          <w:rtl/>
        </w:rPr>
        <w:t>.</w:t>
      </w:r>
    </w:p>
    <w:p w:rsidR="00B137A6" w:rsidRPr="00C70226" w:rsidRDefault="00B137A6" w:rsidP="00B137A6">
      <w:pPr>
        <w:pStyle w:val="ae"/>
        <w:rPr>
          <w:rFonts w:ascii="David" w:eastAsia="Calibri" w:hAnsi="David"/>
          <w:noProof w:val="0"/>
          <w:rtl/>
        </w:rPr>
      </w:pPr>
    </w:p>
    <w:p w:rsidR="00E34603" w:rsidRPr="00B137A6" w:rsidRDefault="00E34603" w:rsidP="0060588E">
      <w:pPr>
        <w:numPr>
          <w:ilvl w:val="0"/>
          <w:numId w:val="4"/>
        </w:numPr>
        <w:spacing w:after="160" w:line="360" w:lineRule="auto"/>
        <w:ind w:left="368" w:hanging="510"/>
        <w:contextualSpacing/>
        <w:jc w:val="both"/>
        <w:rPr>
          <w:rFonts w:ascii="David" w:eastAsia="Calibri" w:hAnsi="David"/>
          <w:noProof w:val="0"/>
        </w:rPr>
      </w:pPr>
      <w:r w:rsidRPr="00B137A6">
        <w:rPr>
          <w:rFonts w:ascii="David" w:eastAsia="Calibri" w:hAnsi="David"/>
          <w:noProof w:val="0"/>
          <w:rtl/>
        </w:rPr>
        <w:t xml:space="preserve">לאור האמור, </w:t>
      </w:r>
      <w:r w:rsidR="0060588E">
        <w:rPr>
          <w:rFonts w:ascii="David" w:eastAsia="Calibri" w:hAnsi="David" w:hint="cs"/>
          <w:noProof w:val="0"/>
          <w:rtl/>
        </w:rPr>
        <w:t xml:space="preserve">מסקנתי היא כי </w:t>
      </w:r>
      <w:r w:rsidRPr="00B137A6">
        <w:rPr>
          <w:rFonts w:ascii="David" w:eastAsia="Calibri" w:hAnsi="David"/>
          <w:b/>
          <w:bCs/>
          <w:noProof w:val="0"/>
          <w:rtl/>
        </w:rPr>
        <w:t xml:space="preserve">הוראת סעיף 11 </w:t>
      </w:r>
      <w:r w:rsidR="0060588E">
        <w:rPr>
          <w:rFonts w:ascii="David" w:eastAsia="Calibri" w:hAnsi="David" w:hint="cs"/>
          <w:b/>
          <w:bCs/>
          <w:noProof w:val="0"/>
          <w:rtl/>
        </w:rPr>
        <w:t xml:space="preserve">לצוואה </w:t>
      </w:r>
      <w:r w:rsidRPr="00B137A6">
        <w:rPr>
          <w:rFonts w:ascii="David" w:eastAsia="Calibri" w:hAnsi="David"/>
          <w:b/>
          <w:bCs/>
          <w:noProof w:val="0"/>
          <w:rtl/>
        </w:rPr>
        <w:t>מאפשרת שינוי חד צדדי של כל אחד מהמצווים גם לאחר פטירת אחד מהם</w:t>
      </w:r>
      <w:r w:rsidRPr="00B137A6">
        <w:rPr>
          <w:rFonts w:ascii="David" w:eastAsia="Calibri" w:hAnsi="David"/>
          <w:noProof w:val="0"/>
          <w:rtl/>
        </w:rPr>
        <w:t xml:space="preserve"> (בהתאם לסיטוא</w:t>
      </w:r>
      <w:r w:rsidR="003E74F9" w:rsidRPr="00B137A6">
        <w:rPr>
          <w:rFonts w:ascii="David" w:eastAsia="Calibri" w:hAnsi="David"/>
          <w:noProof w:val="0"/>
          <w:rtl/>
        </w:rPr>
        <w:t xml:space="preserve">ציה הראשונה שנידונה בפרשת </w:t>
      </w:r>
      <w:r w:rsidR="003E74F9" w:rsidRPr="004A3A4F">
        <w:rPr>
          <w:rFonts w:ascii="David" w:eastAsia="Calibri" w:hAnsi="David"/>
          <w:noProof w:val="0"/>
          <w:rtl/>
        </w:rPr>
        <w:t>זמיר</w:t>
      </w:r>
      <w:r w:rsidR="003E74F9" w:rsidRPr="00B137A6">
        <w:rPr>
          <w:rFonts w:ascii="David" w:eastAsia="Calibri" w:hAnsi="David"/>
          <w:noProof w:val="0"/>
          <w:rtl/>
        </w:rPr>
        <w:t>)</w:t>
      </w:r>
      <w:r w:rsidR="003E74F9" w:rsidRPr="00B137A6">
        <w:rPr>
          <w:rFonts w:ascii="David" w:eastAsia="Calibri" w:hAnsi="David" w:hint="cs"/>
          <w:noProof w:val="0"/>
          <w:rtl/>
        </w:rPr>
        <w:t xml:space="preserve">, פירוש אשר </w:t>
      </w:r>
      <w:r w:rsidR="003E74F9" w:rsidRPr="00B137A6">
        <w:rPr>
          <w:rFonts w:ascii="David" w:eastAsia="Calibri" w:hAnsi="David"/>
          <w:noProof w:val="0"/>
          <w:rtl/>
        </w:rPr>
        <w:t xml:space="preserve">מתיישב הן עם הדין שחל בעת עריכת הצוואה והן עם </w:t>
      </w:r>
      <w:r w:rsidR="003E74F9" w:rsidRPr="00B137A6">
        <w:rPr>
          <w:rFonts w:ascii="David" w:eastAsia="Calibri" w:hAnsi="David" w:hint="cs"/>
          <w:noProof w:val="0"/>
          <w:rtl/>
        </w:rPr>
        <w:t>לשון ה</w:t>
      </w:r>
      <w:r w:rsidR="00D60789" w:rsidRPr="00B137A6">
        <w:rPr>
          <w:rFonts w:ascii="David" w:eastAsia="Calibri" w:hAnsi="David"/>
          <w:noProof w:val="0"/>
          <w:rtl/>
        </w:rPr>
        <w:t>צוואה ההדדית שלפנ</w:t>
      </w:r>
      <w:r w:rsidR="00D60789" w:rsidRPr="00B137A6">
        <w:rPr>
          <w:rFonts w:ascii="David" w:eastAsia="Calibri" w:hAnsi="David" w:hint="cs"/>
          <w:noProof w:val="0"/>
          <w:rtl/>
        </w:rPr>
        <w:t>י.</w:t>
      </w:r>
    </w:p>
    <w:p w:rsidR="00F272CD" w:rsidRDefault="00F272CD" w:rsidP="00D60789">
      <w:pPr>
        <w:spacing w:line="360" w:lineRule="auto"/>
        <w:contextualSpacing/>
        <w:jc w:val="both"/>
        <w:rPr>
          <w:rFonts w:ascii="David" w:eastAsia="Calibri" w:hAnsi="David"/>
          <w:b/>
          <w:bCs/>
          <w:noProof w:val="0"/>
          <w:rtl/>
        </w:rPr>
      </w:pPr>
    </w:p>
    <w:p w:rsidR="00E34603" w:rsidRPr="00E34603" w:rsidRDefault="00E34603" w:rsidP="00D60789">
      <w:pPr>
        <w:spacing w:line="360" w:lineRule="auto"/>
        <w:contextualSpacing/>
        <w:jc w:val="both"/>
        <w:rPr>
          <w:rFonts w:ascii="David" w:eastAsia="Calibri" w:hAnsi="David"/>
          <w:b/>
          <w:bCs/>
          <w:noProof w:val="0"/>
          <w:rtl/>
        </w:rPr>
      </w:pPr>
      <w:r w:rsidRPr="00E34603">
        <w:rPr>
          <w:rFonts w:ascii="David" w:eastAsia="Calibri" w:hAnsi="David"/>
          <w:b/>
          <w:bCs/>
          <w:noProof w:val="0"/>
          <w:rtl/>
        </w:rPr>
        <w:t>הוראת סעיף 5 לצוואה – "יורש אחר יורש" או "יורש במקום יורש"</w:t>
      </w:r>
    </w:p>
    <w:p w:rsidR="00E34603" w:rsidRPr="00E34603" w:rsidRDefault="00E34603" w:rsidP="00E34603">
      <w:pPr>
        <w:spacing w:line="360" w:lineRule="auto"/>
        <w:ind w:left="368"/>
        <w:contextualSpacing/>
        <w:jc w:val="both"/>
        <w:rPr>
          <w:rFonts w:ascii="David" w:eastAsia="Calibri" w:hAnsi="David"/>
          <w:b/>
          <w:bCs/>
          <w:noProof w:val="0"/>
          <w:rtl/>
        </w:rPr>
      </w:pPr>
    </w:p>
    <w:p w:rsidR="00C70226" w:rsidRDefault="00E34603" w:rsidP="004F1AA9">
      <w:pPr>
        <w:numPr>
          <w:ilvl w:val="0"/>
          <w:numId w:val="4"/>
        </w:numPr>
        <w:spacing w:after="160" w:line="360" w:lineRule="auto"/>
        <w:ind w:left="368" w:hanging="510"/>
        <w:contextualSpacing/>
        <w:jc w:val="both"/>
        <w:rPr>
          <w:rFonts w:ascii="David" w:eastAsia="Calibri" w:hAnsi="David"/>
          <w:noProof w:val="0"/>
        </w:rPr>
      </w:pPr>
      <w:r w:rsidRPr="00E34603">
        <w:rPr>
          <w:rFonts w:ascii="David" w:eastAsia="Calibri" w:hAnsi="David"/>
          <w:noProof w:val="0"/>
          <w:rtl/>
        </w:rPr>
        <w:t xml:space="preserve">הצדדים חלוקים </w:t>
      </w:r>
      <w:r w:rsidR="001D060D">
        <w:rPr>
          <w:rFonts w:ascii="David" w:eastAsia="Calibri" w:hAnsi="David" w:hint="cs"/>
          <w:noProof w:val="0"/>
          <w:rtl/>
        </w:rPr>
        <w:t xml:space="preserve">כאמור, </w:t>
      </w:r>
      <w:r w:rsidRPr="00E34603">
        <w:rPr>
          <w:rFonts w:ascii="David" w:eastAsia="Calibri" w:hAnsi="David"/>
          <w:noProof w:val="0"/>
          <w:rtl/>
        </w:rPr>
        <w:t xml:space="preserve">אף ביחס לפרשנותו של סעיף 5 לצוואה - האם משמעותו היא של "יורש </w:t>
      </w:r>
      <w:r w:rsidRPr="00735EBF">
        <w:rPr>
          <w:rFonts w:ascii="David" w:eastAsia="Calibri" w:hAnsi="David"/>
          <w:b/>
          <w:bCs/>
          <w:noProof w:val="0"/>
          <w:rtl/>
        </w:rPr>
        <w:t>אחר</w:t>
      </w:r>
      <w:r w:rsidRPr="00E34603">
        <w:rPr>
          <w:rFonts w:ascii="David" w:eastAsia="Calibri" w:hAnsi="David"/>
          <w:noProof w:val="0"/>
          <w:rtl/>
        </w:rPr>
        <w:t xml:space="preserve"> יורש" (כעמדת המבקשת וב"כ היועמ"ש); שמא כ"יורש </w:t>
      </w:r>
      <w:r w:rsidRPr="00735EBF">
        <w:rPr>
          <w:rFonts w:ascii="David" w:eastAsia="Calibri" w:hAnsi="David"/>
          <w:b/>
          <w:bCs/>
          <w:noProof w:val="0"/>
          <w:rtl/>
        </w:rPr>
        <w:t>במקום</w:t>
      </w:r>
      <w:r w:rsidR="003E74F9">
        <w:rPr>
          <w:rFonts w:ascii="David" w:eastAsia="Calibri" w:hAnsi="David"/>
          <w:noProof w:val="0"/>
          <w:rtl/>
        </w:rPr>
        <w:t xml:space="preserve"> יורש" כעמדת המשיב</w:t>
      </w:r>
      <w:r w:rsidR="003E74F9">
        <w:rPr>
          <w:rFonts w:ascii="David" w:eastAsia="Calibri" w:hAnsi="David" w:hint="cs"/>
          <w:noProof w:val="0"/>
          <w:rtl/>
        </w:rPr>
        <w:t>; ככל שיוכרו הוראות הצוואה לעניין זה כ</w:t>
      </w:r>
      <w:r w:rsidR="00C70226">
        <w:rPr>
          <w:rFonts w:ascii="David" w:eastAsia="Calibri" w:hAnsi="David" w:hint="cs"/>
          <w:noProof w:val="0"/>
          <w:rtl/>
        </w:rPr>
        <w:t>"יורש אחר יורש", הרי שבהתאם לסי</w:t>
      </w:r>
      <w:r w:rsidR="003E74F9">
        <w:rPr>
          <w:rFonts w:ascii="David" w:eastAsia="Calibri" w:hAnsi="David" w:hint="cs"/>
          <w:noProof w:val="0"/>
          <w:rtl/>
        </w:rPr>
        <w:t>פ</w:t>
      </w:r>
      <w:r w:rsidR="004A3A4F">
        <w:rPr>
          <w:rFonts w:ascii="David" w:eastAsia="Calibri" w:hAnsi="David" w:hint="cs"/>
          <w:noProof w:val="0"/>
          <w:rtl/>
        </w:rPr>
        <w:t>א</w:t>
      </w:r>
      <w:r w:rsidR="003E74F9">
        <w:rPr>
          <w:rFonts w:ascii="David" w:eastAsia="Calibri" w:hAnsi="David" w:hint="cs"/>
          <w:noProof w:val="0"/>
          <w:rtl/>
        </w:rPr>
        <w:t xml:space="preserve"> לסעיף 42 (ב) לחוק </w:t>
      </w:r>
      <w:r w:rsidR="003E74F9">
        <w:rPr>
          <w:rFonts w:ascii="David" w:eastAsia="Calibri" w:hAnsi="David" w:hint="cs"/>
          <w:noProof w:val="0"/>
          <w:rtl/>
        </w:rPr>
        <w:lastRenderedPageBreak/>
        <w:t xml:space="preserve">הירושה </w:t>
      </w:r>
      <w:r w:rsidR="00406E77">
        <w:rPr>
          <w:rFonts w:ascii="David" w:eastAsia="Calibri" w:hAnsi="David" w:hint="cs"/>
          <w:noProof w:val="0"/>
          <w:rtl/>
        </w:rPr>
        <w:t>אין בידי המנוחה לגרוע מזכות היורש השני באמצעות צוואה סותרת</w:t>
      </w:r>
      <w:r w:rsidR="004F1AA9">
        <w:rPr>
          <w:rFonts w:ascii="David" w:eastAsia="Calibri" w:hAnsi="David" w:hint="cs"/>
          <w:noProof w:val="0"/>
          <w:rtl/>
        </w:rPr>
        <w:t xml:space="preserve">, ולטענת המבקשת יש בהוראה זו ללמד על </w:t>
      </w:r>
      <w:r w:rsidR="004F1AA9" w:rsidRPr="00E34603">
        <w:rPr>
          <w:rFonts w:ascii="David" w:eastAsia="Calibri" w:hAnsi="David"/>
          <w:noProof w:val="0"/>
          <w:rtl/>
        </w:rPr>
        <w:t>אומד דעתם של הצדדים ביחס לעקרון ההסתמכות ו</w:t>
      </w:r>
      <w:r w:rsidR="004F1AA9">
        <w:rPr>
          <w:rFonts w:ascii="David" w:eastAsia="Calibri" w:hAnsi="David" w:hint="cs"/>
          <w:noProof w:val="0"/>
          <w:rtl/>
        </w:rPr>
        <w:t xml:space="preserve">לאורה יש לפרש את </w:t>
      </w:r>
      <w:r w:rsidR="004F1AA9" w:rsidRPr="00E34603">
        <w:rPr>
          <w:rFonts w:ascii="David" w:eastAsia="Calibri" w:hAnsi="David"/>
          <w:noProof w:val="0"/>
          <w:rtl/>
        </w:rPr>
        <w:t xml:space="preserve">הוראת סעיף 11, באופן ששולל את יכולתה של המנוחה </w:t>
      </w:r>
      <w:r w:rsidR="004F1AA9">
        <w:rPr>
          <w:rFonts w:ascii="David" w:eastAsia="Calibri" w:hAnsi="David" w:hint="cs"/>
          <w:noProof w:val="0"/>
          <w:rtl/>
        </w:rPr>
        <w:t>לערוך</w:t>
      </w:r>
      <w:r w:rsidR="004F1AA9" w:rsidRPr="00E34603">
        <w:rPr>
          <w:rFonts w:ascii="David" w:eastAsia="Calibri" w:hAnsi="David"/>
          <w:noProof w:val="0"/>
          <w:rtl/>
        </w:rPr>
        <w:t xml:space="preserve"> צוואה מבטלת.</w:t>
      </w:r>
    </w:p>
    <w:p w:rsidR="00E34603" w:rsidRPr="00E34603" w:rsidRDefault="00E34603" w:rsidP="00735EBF">
      <w:pPr>
        <w:spacing w:after="160" w:line="360" w:lineRule="auto"/>
        <w:ind w:left="368"/>
        <w:contextualSpacing/>
        <w:jc w:val="both"/>
        <w:rPr>
          <w:rFonts w:ascii="David" w:eastAsia="Calibri" w:hAnsi="David"/>
          <w:noProof w:val="0"/>
        </w:rPr>
      </w:pPr>
    </w:p>
    <w:p w:rsidR="00E34603" w:rsidRPr="0099713C" w:rsidRDefault="00E34603" w:rsidP="00C70226">
      <w:pPr>
        <w:numPr>
          <w:ilvl w:val="0"/>
          <w:numId w:val="4"/>
        </w:numPr>
        <w:spacing w:after="160" w:line="360" w:lineRule="auto"/>
        <w:ind w:left="368" w:hanging="510"/>
        <w:contextualSpacing/>
        <w:jc w:val="both"/>
        <w:rPr>
          <w:rFonts w:ascii="David" w:eastAsia="Calibri" w:hAnsi="David"/>
          <w:noProof w:val="0"/>
          <w:rtl/>
        </w:rPr>
      </w:pPr>
      <w:r w:rsidRPr="0099713C">
        <w:rPr>
          <w:rFonts w:ascii="David" w:eastAsia="Calibri" w:hAnsi="David"/>
          <w:noProof w:val="0"/>
          <w:rtl/>
        </w:rPr>
        <w:t>לצורך הדיון במחלוקת זו ולמען הנוחות</w:t>
      </w:r>
      <w:r w:rsidR="0099713C" w:rsidRPr="0099713C">
        <w:rPr>
          <w:rFonts w:ascii="David" w:eastAsia="Calibri" w:hAnsi="David" w:hint="cs"/>
          <w:noProof w:val="0"/>
          <w:rtl/>
        </w:rPr>
        <w:t>,</w:t>
      </w:r>
      <w:r w:rsidRPr="0099713C">
        <w:rPr>
          <w:rFonts w:ascii="David" w:eastAsia="Calibri" w:hAnsi="David"/>
          <w:noProof w:val="0"/>
          <w:rtl/>
        </w:rPr>
        <w:t xml:space="preserve"> </w:t>
      </w:r>
      <w:r w:rsidR="00C70226">
        <w:rPr>
          <w:rFonts w:ascii="David" w:eastAsia="Calibri" w:hAnsi="David" w:hint="cs"/>
          <w:noProof w:val="0"/>
          <w:rtl/>
        </w:rPr>
        <w:t xml:space="preserve">אביא להלן </w:t>
      </w:r>
      <w:r w:rsidR="00406E77" w:rsidRPr="0099713C">
        <w:rPr>
          <w:rFonts w:ascii="David" w:eastAsia="Calibri" w:hAnsi="David" w:hint="cs"/>
          <w:noProof w:val="0"/>
          <w:rtl/>
        </w:rPr>
        <w:t>את</w:t>
      </w:r>
      <w:r w:rsidRPr="0099713C">
        <w:rPr>
          <w:rFonts w:ascii="David" w:eastAsia="Calibri" w:hAnsi="David"/>
          <w:noProof w:val="0"/>
          <w:rtl/>
        </w:rPr>
        <w:t xml:space="preserve"> לשון סעיף</w:t>
      </w:r>
      <w:r w:rsidR="00406E77" w:rsidRPr="0099713C">
        <w:rPr>
          <w:rFonts w:ascii="David" w:eastAsia="Calibri" w:hAnsi="David" w:hint="cs"/>
          <w:noProof w:val="0"/>
          <w:rtl/>
        </w:rPr>
        <w:t xml:space="preserve"> 5 לצוואה ההדדית</w:t>
      </w:r>
      <w:r w:rsidR="00C70226">
        <w:rPr>
          <w:rFonts w:ascii="David" w:eastAsia="Calibri" w:hAnsi="David" w:hint="cs"/>
          <w:noProof w:val="0"/>
          <w:rtl/>
        </w:rPr>
        <w:t xml:space="preserve"> השנוי במחלוקת</w:t>
      </w:r>
      <w:r w:rsidRPr="0099713C">
        <w:rPr>
          <w:rFonts w:ascii="David" w:eastAsia="Calibri" w:hAnsi="David"/>
          <w:noProof w:val="0"/>
          <w:rtl/>
        </w:rPr>
        <w:t xml:space="preserve">: </w:t>
      </w:r>
      <w:r w:rsidR="0099713C" w:rsidRPr="0099713C">
        <w:rPr>
          <w:rFonts w:ascii="David" w:eastAsia="Calibri" w:hAnsi="David" w:hint="cs"/>
          <w:noProof w:val="0"/>
          <w:rtl/>
        </w:rPr>
        <w:t xml:space="preserve"> </w:t>
      </w:r>
      <w:r w:rsidRPr="0099713C">
        <w:rPr>
          <w:rFonts w:ascii="David" w:eastAsia="Calibri" w:hAnsi="David"/>
          <w:noProof w:val="0"/>
          <w:rtl/>
        </w:rPr>
        <w:t>"</w:t>
      </w:r>
      <w:r w:rsidRPr="00735EBF">
        <w:rPr>
          <w:rFonts w:ascii="David" w:eastAsia="Calibri" w:hAnsi="David"/>
          <w:b/>
          <w:bCs/>
          <w:noProof w:val="0"/>
          <w:rtl/>
        </w:rPr>
        <w:t>למקרה שחו"ח בן הזוג היורש לא יהיה בחיים בעת פטירת אחד מאיתנו, בנותינו ובננו יתחלקו כמפורט להלן</w:t>
      </w:r>
      <w:r w:rsidRPr="00735EBF">
        <w:rPr>
          <w:rFonts w:ascii="David" w:eastAsia="Calibri" w:hAnsi="David"/>
          <w:noProof w:val="0"/>
          <w:rtl/>
        </w:rPr>
        <w:t>:...."</w:t>
      </w:r>
      <w:r w:rsidR="00C70226">
        <w:rPr>
          <w:rFonts w:ascii="David" w:eastAsia="Calibri" w:hAnsi="David" w:hint="cs"/>
          <w:noProof w:val="0"/>
          <w:rtl/>
        </w:rPr>
        <w:t>;</w:t>
      </w:r>
      <w:r w:rsidRPr="0099713C">
        <w:rPr>
          <w:rFonts w:ascii="David" w:eastAsia="Calibri" w:hAnsi="David"/>
          <w:noProof w:val="0"/>
          <w:rtl/>
        </w:rPr>
        <w:t xml:space="preserve"> בהמשך הסעיף פירטו המנוחים מהו הרכוש שנצבר להם וכיצד יחולק בין ילדיהם במקרה מעין זה.</w:t>
      </w:r>
    </w:p>
    <w:p w:rsidR="00E34603" w:rsidRPr="00E34603" w:rsidRDefault="00E34603" w:rsidP="00735EBF">
      <w:pPr>
        <w:spacing w:after="160" w:line="360" w:lineRule="auto"/>
        <w:ind w:left="368"/>
        <w:contextualSpacing/>
        <w:jc w:val="both"/>
        <w:rPr>
          <w:rFonts w:ascii="David" w:eastAsia="Calibri" w:hAnsi="David"/>
          <w:noProof w:val="0"/>
          <w:rtl/>
        </w:rPr>
      </w:pPr>
    </w:p>
    <w:p w:rsidR="00735EBF" w:rsidRDefault="00E34603" w:rsidP="00F272CD">
      <w:pPr>
        <w:numPr>
          <w:ilvl w:val="0"/>
          <w:numId w:val="4"/>
        </w:numPr>
        <w:spacing w:after="160" w:line="360" w:lineRule="auto"/>
        <w:ind w:left="368" w:hanging="510"/>
        <w:contextualSpacing/>
        <w:jc w:val="both"/>
        <w:rPr>
          <w:rFonts w:ascii="David" w:eastAsia="Calibri" w:hAnsi="David"/>
          <w:noProof w:val="0"/>
        </w:rPr>
      </w:pPr>
      <w:r w:rsidRPr="00E34603">
        <w:rPr>
          <w:rFonts w:ascii="David" w:eastAsia="Calibri" w:hAnsi="David"/>
          <w:noProof w:val="0"/>
          <w:rtl/>
        </w:rPr>
        <w:t>לטענת</w:t>
      </w:r>
      <w:r w:rsidR="004F1AA9" w:rsidRPr="004F1AA9">
        <w:rPr>
          <w:rFonts w:ascii="David" w:eastAsia="Calibri" w:hAnsi="David"/>
          <w:noProof w:val="0"/>
          <w:rtl/>
        </w:rPr>
        <w:t xml:space="preserve"> </w:t>
      </w:r>
      <w:r w:rsidR="004F1AA9">
        <w:rPr>
          <w:rFonts w:ascii="David" w:eastAsia="Calibri" w:hAnsi="David" w:hint="cs"/>
          <w:noProof w:val="0"/>
          <w:rtl/>
        </w:rPr>
        <w:t>ה</w:t>
      </w:r>
      <w:r w:rsidR="004F1AA9" w:rsidRPr="00E34603">
        <w:rPr>
          <w:rFonts w:ascii="David" w:eastAsia="Calibri" w:hAnsi="David"/>
          <w:noProof w:val="0"/>
          <w:rtl/>
        </w:rPr>
        <w:t>מבקשת 1</w:t>
      </w:r>
      <w:r w:rsidR="004F1AA9">
        <w:rPr>
          <w:rFonts w:ascii="David" w:eastAsia="Calibri" w:hAnsi="David" w:hint="cs"/>
          <w:noProof w:val="0"/>
          <w:rtl/>
        </w:rPr>
        <w:t>,</w:t>
      </w:r>
      <w:r w:rsidR="004F1AA9" w:rsidRPr="00E34603">
        <w:rPr>
          <w:rFonts w:ascii="David" w:eastAsia="Calibri" w:hAnsi="David"/>
          <w:noProof w:val="0"/>
          <w:rtl/>
        </w:rPr>
        <w:t xml:space="preserve"> הוראת סעיף 5 מלמד</w:t>
      </w:r>
      <w:r w:rsidR="004F1AA9">
        <w:rPr>
          <w:rFonts w:ascii="David" w:eastAsia="Calibri" w:hAnsi="David" w:hint="cs"/>
          <w:noProof w:val="0"/>
          <w:rtl/>
        </w:rPr>
        <w:t>ת</w:t>
      </w:r>
      <w:r w:rsidR="004F1AA9" w:rsidRPr="00E34603">
        <w:rPr>
          <w:rFonts w:ascii="David" w:eastAsia="Calibri" w:hAnsi="David"/>
          <w:noProof w:val="0"/>
          <w:rtl/>
        </w:rPr>
        <w:t xml:space="preserve"> על הסדר של "יורש </w:t>
      </w:r>
      <w:r w:rsidR="004F1AA9" w:rsidRPr="00735EBF">
        <w:rPr>
          <w:rFonts w:ascii="David" w:eastAsia="Calibri" w:hAnsi="David"/>
          <w:b/>
          <w:bCs/>
          <w:noProof w:val="0"/>
          <w:rtl/>
        </w:rPr>
        <w:t>אחר</w:t>
      </w:r>
      <w:r w:rsidR="004F1AA9" w:rsidRPr="00E34603">
        <w:rPr>
          <w:rFonts w:ascii="David" w:eastAsia="Calibri" w:hAnsi="David"/>
          <w:noProof w:val="0"/>
          <w:rtl/>
        </w:rPr>
        <w:t xml:space="preserve"> יורש"</w:t>
      </w:r>
      <w:r w:rsidR="004F1AA9">
        <w:rPr>
          <w:rFonts w:ascii="David" w:eastAsia="Calibri" w:hAnsi="David" w:hint="cs"/>
          <w:noProof w:val="0"/>
          <w:rtl/>
        </w:rPr>
        <w:t xml:space="preserve"> וכי </w:t>
      </w:r>
      <w:r w:rsidRPr="00E34603">
        <w:rPr>
          <w:rFonts w:ascii="David" w:eastAsia="Calibri" w:hAnsi="David"/>
          <w:noProof w:val="0"/>
          <w:rtl/>
        </w:rPr>
        <w:t>זה ההסבר היחידי האפשרי לסעיף 5</w:t>
      </w:r>
      <w:r w:rsidR="00B82CAE">
        <w:rPr>
          <w:rFonts w:ascii="David" w:eastAsia="Calibri" w:hAnsi="David" w:hint="cs"/>
          <w:noProof w:val="0"/>
          <w:rtl/>
        </w:rPr>
        <w:t>,</w:t>
      </w:r>
      <w:r w:rsidRPr="00E34603">
        <w:rPr>
          <w:rFonts w:ascii="David" w:eastAsia="Calibri" w:hAnsi="David"/>
          <w:noProof w:val="0"/>
          <w:rtl/>
        </w:rPr>
        <w:t xml:space="preserve"> אחרת </w:t>
      </w:r>
      <w:r w:rsidR="004F1AA9">
        <w:rPr>
          <w:rFonts w:ascii="David" w:eastAsia="Calibri" w:hAnsi="David" w:hint="cs"/>
          <w:noProof w:val="0"/>
          <w:rtl/>
        </w:rPr>
        <w:t xml:space="preserve">לא היה צורך </w:t>
      </w:r>
      <w:r w:rsidRPr="00E34603">
        <w:rPr>
          <w:rFonts w:ascii="David" w:eastAsia="Calibri" w:hAnsi="David"/>
          <w:noProof w:val="0"/>
          <w:rtl/>
        </w:rPr>
        <w:t xml:space="preserve">להזכיר את מתווה החלוקה לצאצאים בסעיף זה שהרי על פי סעיף 4 לצוואה בכל מקרה בן הזוג שנותר בחיים הוא שיורש תחילה את זה שנפטר וניתן היה לסיים הצוואה כאן. חזקה שהמנוחים לא השחיתו מילותיהם לשווא כשקבעו מנגנון הורשה מפורט לדור הבא הכולל הסדר נאמנות לגבי ירושת הבת </w:t>
      </w:r>
      <w:r w:rsidR="00F272CD">
        <w:rPr>
          <w:rFonts w:ascii="David" w:eastAsia="Calibri" w:hAnsi="David" w:hint="cs"/>
          <w:noProof w:val="0"/>
          <w:rtl/>
        </w:rPr>
        <w:t>מ.י.</w:t>
      </w:r>
      <w:r w:rsidRPr="00E34603">
        <w:rPr>
          <w:rFonts w:ascii="David" w:eastAsia="Calibri" w:hAnsi="David"/>
          <w:noProof w:val="0"/>
          <w:rtl/>
        </w:rPr>
        <w:t xml:space="preserve"> החסויה, והשהיית מכירת דירת המגורים עד לאחר שנה מיום פטירת בן הזוג הנותר (סעיף 6) וחלוקת תמורתה בין היורשים החוקיים (סעיף 5) – הוראות הרלוונטיות רק בהסדר של יורש אחר יורש. כמו כן טענה כי סעיף 3 לצוואה נקט בלשון רבים והתייחס לקיום "...</w:t>
      </w:r>
      <w:r w:rsidRPr="00E34603">
        <w:rPr>
          <w:rFonts w:ascii="David" w:eastAsia="Calibri" w:hAnsi="David"/>
          <w:b/>
          <w:bCs/>
          <w:noProof w:val="0"/>
          <w:rtl/>
        </w:rPr>
        <w:t>קנייני הזוכים בה ומכוחה</w:t>
      </w:r>
      <w:r w:rsidRPr="00E34603">
        <w:rPr>
          <w:rFonts w:ascii="David" w:eastAsia="Calibri" w:hAnsi="David"/>
          <w:noProof w:val="0"/>
          <w:rtl/>
        </w:rPr>
        <w:t xml:space="preserve">" והכוונה היא לזוכים האמורים בסעיף 5, שהרי ככל שהוא מתייחס לבן הזוג הנותר בחיים – מדובר ביחיד. </w:t>
      </w:r>
    </w:p>
    <w:p w:rsidR="00735EBF" w:rsidRDefault="00735EBF" w:rsidP="00735EBF">
      <w:pPr>
        <w:pStyle w:val="ae"/>
        <w:rPr>
          <w:rFonts w:ascii="David" w:eastAsia="Calibri" w:hAnsi="David"/>
          <w:noProof w:val="0"/>
          <w:rtl/>
        </w:rPr>
      </w:pPr>
    </w:p>
    <w:p w:rsidR="00735EBF" w:rsidRDefault="00E34603" w:rsidP="004F1AA9">
      <w:pPr>
        <w:numPr>
          <w:ilvl w:val="0"/>
          <w:numId w:val="4"/>
        </w:numPr>
        <w:spacing w:after="160" w:line="360" w:lineRule="auto"/>
        <w:ind w:left="368" w:hanging="510"/>
        <w:contextualSpacing/>
        <w:jc w:val="both"/>
        <w:rPr>
          <w:rFonts w:ascii="David" w:eastAsia="Calibri" w:hAnsi="David"/>
          <w:noProof w:val="0"/>
        </w:rPr>
      </w:pPr>
      <w:r w:rsidRPr="00735EBF">
        <w:rPr>
          <w:rFonts w:ascii="David" w:eastAsia="Calibri" w:hAnsi="David"/>
          <w:noProof w:val="0"/>
          <w:rtl/>
        </w:rPr>
        <w:t xml:space="preserve">גם ב"כ היועמ"ש צידדה בפרשנות זו וטענה מצידה כי עסקינן בהוראת "יורש </w:t>
      </w:r>
      <w:r w:rsidRPr="00735EBF">
        <w:rPr>
          <w:rFonts w:ascii="David" w:eastAsia="Calibri" w:hAnsi="David"/>
          <w:b/>
          <w:bCs/>
          <w:noProof w:val="0"/>
          <w:rtl/>
        </w:rPr>
        <w:t>אחר</w:t>
      </w:r>
      <w:r w:rsidRPr="00735EBF">
        <w:rPr>
          <w:rFonts w:ascii="David" w:eastAsia="Calibri" w:hAnsi="David"/>
          <w:noProof w:val="0"/>
          <w:rtl/>
        </w:rPr>
        <w:t xml:space="preserve"> יורש" אשר בהתאם לסעיף 42(ב) סיפה לחוק הירושה "</w:t>
      </w:r>
      <w:r w:rsidRPr="00735EBF">
        <w:rPr>
          <w:rFonts w:ascii="David" w:eastAsia="Calibri" w:hAnsi="David"/>
          <w:b/>
          <w:bCs/>
          <w:noProof w:val="0"/>
          <w:rtl/>
        </w:rPr>
        <w:t>... אין הראשון יכול לגרוע מזכותו של השני על ידי צוואה</w:t>
      </w:r>
      <w:r w:rsidRPr="00735EBF">
        <w:rPr>
          <w:rFonts w:ascii="David" w:eastAsia="Calibri" w:hAnsi="David"/>
          <w:noProof w:val="0"/>
          <w:rtl/>
        </w:rPr>
        <w:t xml:space="preserve">"; </w:t>
      </w:r>
      <w:r w:rsidR="004F1AA9">
        <w:rPr>
          <w:rFonts w:ascii="David" w:eastAsia="Calibri" w:hAnsi="David" w:hint="cs"/>
          <w:noProof w:val="0"/>
          <w:rtl/>
        </w:rPr>
        <w:t xml:space="preserve">לטענתה, </w:t>
      </w:r>
      <w:r w:rsidRPr="00735EBF">
        <w:rPr>
          <w:rFonts w:ascii="David" w:eastAsia="Calibri" w:hAnsi="David"/>
          <w:noProof w:val="0"/>
          <w:rtl/>
        </w:rPr>
        <w:t>מהוראות הצוואה ובפרט סעיף 5 לה ניתן ללמוד כי אומד דעתם של המנוחים בעניינינו והתכנית המשותפת שעמדה ביסוד הצוואה כולה הייתה כי תכנית החלוקה של נכסי העיזבון תתבצע כפי שקבעו בני הזוג בצוותא בסעיף 5 "לבנותינו ולבננו", אלא אם נאמר אחרת. ב"כ היועמ"ש למ</w:t>
      </w:r>
      <w:r w:rsidR="005B0961" w:rsidRPr="00735EBF">
        <w:rPr>
          <w:rFonts w:ascii="David" w:eastAsia="Calibri" w:hAnsi="David" w:hint="cs"/>
          <w:noProof w:val="0"/>
          <w:rtl/>
        </w:rPr>
        <w:t>ד</w:t>
      </w:r>
      <w:r w:rsidRPr="00735EBF">
        <w:rPr>
          <w:rFonts w:ascii="David" w:eastAsia="Calibri" w:hAnsi="David"/>
          <w:noProof w:val="0"/>
          <w:rtl/>
        </w:rPr>
        <w:t>ה מסעיף זה כמו גם מסעיף 9 לצוואה בו נאמר על ידי המנוחים כי צוואתם נערכה "לאחר שיקול דעת מעמיק וממושך...", כי הם לא היו רוצים להניח לנותר בחיים "לרוקן" את העיזבון ולהעביר את הנכסים לצדדי ג' שאינם "בנותינו ובננו" לפי המתווה שפורט בסעיף 5 לצוואתם וספק רב האם בנסיבות אלה העברות המתנה שהתבצעו בסמוך לעריכת הצוואה המבטלת אינן מהוות חריגה ממתווה החלוקה עליו הורו המנוחים בסעיף 5 לצוואתם.</w:t>
      </w:r>
    </w:p>
    <w:p w:rsidR="00735EBF" w:rsidRDefault="00735EBF" w:rsidP="00735EBF">
      <w:pPr>
        <w:pStyle w:val="ae"/>
        <w:rPr>
          <w:rFonts w:ascii="David" w:eastAsia="Calibri" w:hAnsi="David"/>
          <w:noProof w:val="0"/>
          <w:rtl/>
        </w:rPr>
      </w:pPr>
    </w:p>
    <w:p w:rsidR="00735EBF" w:rsidRDefault="00E34603" w:rsidP="004F1AA9">
      <w:pPr>
        <w:numPr>
          <w:ilvl w:val="0"/>
          <w:numId w:val="4"/>
        </w:numPr>
        <w:spacing w:after="160" w:line="360" w:lineRule="auto"/>
        <w:ind w:left="368" w:hanging="510"/>
        <w:contextualSpacing/>
        <w:jc w:val="both"/>
        <w:rPr>
          <w:rFonts w:ascii="David" w:eastAsia="Calibri" w:hAnsi="David"/>
          <w:noProof w:val="0"/>
        </w:rPr>
      </w:pPr>
      <w:r w:rsidRPr="00735EBF">
        <w:rPr>
          <w:rFonts w:ascii="David" w:eastAsia="Calibri" w:hAnsi="David"/>
          <w:noProof w:val="0"/>
          <w:rtl/>
        </w:rPr>
        <w:t xml:space="preserve">מנגד </w:t>
      </w:r>
      <w:r w:rsidR="008C0280" w:rsidRPr="00735EBF">
        <w:rPr>
          <w:rFonts w:ascii="David" w:eastAsia="Calibri" w:hAnsi="David" w:hint="cs"/>
          <w:noProof w:val="0"/>
          <w:rtl/>
        </w:rPr>
        <w:t>טען</w:t>
      </w:r>
      <w:r w:rsidRPr="00735EBF">
        <w:rPr>
          <w:rFonts w:ascii="David" w:eastAsia="Calibri" w:hAnsi="David"/>
          <w:noProof w:val="0"/>
          <w:rtl/>
        </w:rPr>
        <w:t xml:space="preserve"> המשיב כאמור כי לנוכח לשון הצוואה מדובר בהסדר של "יורש </w:t>
      </w:r>
      <w:r w:rsidRPr="00735EBF">
        <w:rPr>
          <w:rFonts w:ascii="David" w:eastAsia="Calibri" w:hAnsi="David"/>
          <w:b/>
          <w:bCs/>
          <w:noProof w:val="0"/>
          <w:rtl/>
        </w:rPr>
        <w:t>במקום</w:t>
      </w:r>
      <w:r w:rsidRPr="00735EBF">
        <w:rPr>
          <w:rFonts w:ascii="David" w:eastAsia="Calibri" w:hAnsi="David"/>
          <w:noProof w:val="0"/>
          <w:rtl/>
        </w:rPr>
        <w:t xml:space="preserve"> יורש"  ולפיכך אין לילדי המנוחים כל זכות בעיזבון המנוח </w:t>
      </w:r>
      <w:r w:rsidR="004F1AA9">
        <w:rPr>
          <w:rFonts w:ascii="David" w:eastAsia="Calibri" w:hAnsi="David" w:hint="cs"/>
          <w:noProof w:val="0"/>
          <w:rtl/>
        </w:rPr>
        <w:t>ו</w:t>
      </w:r>
      <w:r w:rsidRPr="00735EBF">
        <w:rPr>
          <w:rFonts w:ascii="David" w:eastAsia="Calibri" w:hAnsi="David"/>
          <w:noProof w:val="0"/>
          <w:rtl/>
        </w:rPr>
        <w:t>ההסדר שנקבע בסיפ</w:t>
      </w:r>
      <w:r w:rsidR="00C70226">
        <w:rPr>
          <w:rFonts w:ascii="David" w:eastAsia="Calibri" w:hAnsi="David" w:hint="cs"/>
          <w:noProof w:val="0"/>
          <w:rtl/>
        </w:rPr>
        <w:t>ה</w:t>
      </w:r>
      <w:r w:rsidRPr="00735EBF">
        <w:rPr>
          <w:rFonts w:ascii="David" w:eastAsia="Calibri" w:hAnsi="David"/>
          <w:noProof w:val="0"/>
          <w:rtl/>
        </w:rPr>
        <w:t xml:space="preserve"> לסעיף 5 אינו רלוונטי </w:t>
      </w:r>
      <w:r w:rsidR="004F1AA9">
        <w:rPr>
          <w:rFonts w:ascii="David" w:eastAsia="Calibri" w:hAnsi="David" w:hint="cs"/>
          <w:noProof w:val="0"/>
          <w:rtl/>
        </w:rPr>
        <w:t xml:space="preserve">שכן </w:t>
      </w:r>
      <w:r w:rsidRPr="00735EBF">
        <w:rPr>
          <w:rFonts w:ascii="David" w:eastAsia="Calibri" w:hAnsi="David"/>
          <w:noProof w:val="0"/>
          <w:rtl/>
        </w:rPr>
        <w:t xml:space="preserve">ילדי המנוח יכלו לרשת את המנוח מכוח סעיף 5 </w:t>
      </w:r>
      <w:r w:rsidRPr="00735EBF">
        <w:rPr>
          <w:rFonts w:ascii="David" w:eastAsia="Calibri" w:hAnsi="David"/>
          <w:noProof w:val="0"/>
          <w:u w:val="single"/>
          <w:rtl/>
        </w:rPr>
        <w:t>רק אם המנוחה ובעלה היו נפטרים ביחד</w:t>
      </w:r>
      <w:r w:rsidRPr="00735EBF">
        <w:rPr>
          <w:rFonts w:ascii="David" w:eastAsia="Calibri" w:hAnsi="David"/>
          <w:noProof w:val="0"/>
          <w:rtl/>
        </w:rPr>
        <w:t>.</w:t>
      </w:r>
    </w:p>
    <w:p w:rsidR="00735EBF" w:rsidRDefault="00735EBF" w:rsidP="00735EBF">
      <w:pPr>
        <w:pStyle w:val="ae"/>
      </w:pPr>
    </w:p>
    <w:p w:rsidR="00E34603" w:rsidRPr="00735EBF" w:rsidRDefault="0038555A" w:rsidP="00735EBF">
      <w:pPr>
        <w:numPr>
          <w:ilvl w:val="0"/>
          <w:numId w:val="4"/>
        </w:numPr>
        <w:spacing w:after="160" w:line="360" w:lineRule="auto"/>
        <w:ind w:left="368" w:hanging="510"/>
        <w:contextualSpacing/>
        <w:jc w:val="both"/>
        <w:rPr>
          <w:rFonts w:ascii="David" w:eastAsia="Calibri" w:hAnsi="David"/>
          <w:noProof w:val="0"/>
        </w:rPr>
      </w:pPr>
      <w:hyperlink r:id="rId10" w:history="1">
        <w:r w:rsidR="00E34603" w:rsidRPr="00735EBF">
          <w:rPr>
            <w:rFonts w:ascii="David" w:eastAsia="Calibri" w:hAnsi="David"/>
            <w:noProof w:val="0"/>
            <w:rtl/>
          </w:rPr>
          <w:t>סעיף 41</w:t>
        </w:r>
      </w:hyperlink>
      <w:r w:rsidR="00E34603" w:rsidRPr="00735EBF">
        <w:rPr>
          <w:rFonts w:ascii="David" w:eastAsia="Calibri" w:hAnsi="David"/>
          <w:noProof w:val="0"/>
          <w:rtl/>
        </w:rPr>
        <w:t> ל</w:t>
      </w:r>
      <w:hyperlink r:id="rId11" w:history="1">
        <w:r w:rsidR="00E34603" w:rsidRPr="00735EBF">
          <w:rPr>
            <w:rFonts w:ascii="David" w:eastAsia="Calibri" w:hAnsi="David"/>
            <w:noProof w:val="0"/>
            <w:rtl/>
          </w:rPr>
          <w:t>חוק הירושה</w:t>
        </w:r>
      </w:hyperlink>
      <w:r w:rsidR="00E34603" w:rsidRPr="00735EBF">
        <w:rPr>
          <w:rFonts w:ascii="David" w:eastAsia="Calibri" w:hAnsi="David"/>
          <w:noProof w:val="0"/>
          <w:rtl/>
        </w:rPr>
        <w:t> עוסק בהוראת </w:t>
      </w:r>
      <w:r w:rsidR="00E34603" w:rsidRPr="00735EBF">
        <w:rPr>
          <w:rFonts w:ascii="David" w:eastAsia="Calibri" w:hAnsi="David"/>
          <w:b/>
          <w:bCs/>
          <w:noProof w:val="0"/>
          <w:rtl/>
        </w:rPr>
        <w:t>"יורש במקום יורש"</w:t>
      </w:r>
      <w:r w:rsidR="0008312F" w:rsidRPr="00735EBF">
        <w:rPr>
          <w:rFonts w:ascii="David" w:eastAsia="Calibri" w:hAnsi="David" w:hint="cs"/>
          <w:b/>
          <w:bCs/>
          <w:noProof w:val="0"/>
          <w:rtl/>
        </w:rPr>
        <w:t xml:space="preserve"> </w:t>
      </w:r>
      <w:r w:rsidR="0008312F" w:rsidRPr="00735EBF">
        <w:rPr>
          <w:rFonts w:ascii="David" w:eastAsia="Calibri" w:hAnsi="David" w:hint="cs"/>
          <w:noProof w:val="0"/>
          <w:rtl/>
        </w:rPr>
        <w:t>וזו לשונו</w:t>
      </w:r>
      <w:r w:rsidR="0008312F" w:rsidRPr="00735EBF">
        <w:rPr>
          <w:rFonts w:ascii="David" w:eastAsia="Calibri" w:hAnsi="David" w:hint="cs"/>
          <w:b/>
          <w:bCs/>
          <w:noProof w:val="0"/>
          <w:rtl/>
        </w:rPr>
        <w:t xml:space="preserve">: </w:t>
      </w:r>
    </w:p>
    <w:p w:rsidR="0008312F" w:rsidRDefault="0008312F" w:rsidP="0008312F">
      <w:pPr>
        <w:pStyle w:val="ae"/>
        <w:rPr>
          <w:rFonts w:ascii="David" w:eastAsia="Calibri" w:hAnsi="David"/>
          <w:noProof w:val="0"/>
          <w:rtl/>
        </w:rPr>
      </w:pPr>
    </w:p>
    <w:p w:rsidR="00E34603" w:rsidRPr="00E34603" w:rsidRDefault="00E34603" w:rsidP="0008312F">
      <w:pPr>
        <w:spacing w:line="360" w:lineRule="auto"/>
        <w:ind w:left="425"/>
        <w:contextualSpacing/>
        <w:jc w:val="both"/>
        <w:rPr>
          <w:rFonts w:ascii="David" w:eastAsia="Calibri" w:hAnsi="David"/>
          <w:b/>
          <w:bCs/>
          <w:noProof w:val="0"/>
        </w:rPr>
      </w:pPr>
      <w:r w:rsidRPr="00E34603">
        <w:rPr>
          <w:rFonts w:ascii="David" w:eastAsia="Calibri" w:hAnsi="David"/>
          <w:b/>
          <w:bCs/>
          <w:noProof w:val="0"/>
          <w:rtl/>
        </w:rPr>
        <w:t xml:space="preserve">"(א)המצווה רשאי לצוות לשניים על מנת שיזכה השני </w:t>
      </w:r>
      <w:r w:rsidRPr="0008312F">
        <w:rPr>
          <w:rFonts w:ascii="David" w:eastAsia="Calibri" w:hAnsi="David"/>
          <w:b/>
          <w:bCs/>
          <w:noProof w:val="0"/>
          <w:u w:val="single"/>
          <w:rtl/>
        </w:rPr>
        <w:t>אם לא זכה הראשון</w:t>
      </w:r>
      <w:r w:rsidRPr="00E34603">
        <w:rPr>
          <w:rFonts w:ascii="David" w:eastAsia="Calibri" w:hAnsi="David"/>
          <w:b/>
          <w:bCs/>
          <w:noProof w:val="0"/>
          <w:rtl/>
        </w:rPr>
        <w:t>; השני יזכה אם מת הראשון לפני המצווה או שנמצא פסול לרשת או שהסתלק מן המגיע לו שלא לטובת בן-זוגו, ילדו או אחיו של המוריש.</w:t>
      </w:r>
      <w:r w:rsidR="0008312F">
        <w:rPr>
          <w:rFonts w:ascii="David" w:eastAsia="Calibri" w:hAnsi="David" w:hint="cs"/>
          <w:b/>
          <w:bCs/>
          <w:noProof w:val="0"/>
          <w:rtl/>
        </w:rPr>
        <w:t>.."</w:t>
      </w:r>
      <w:r w:rsidR="0008312F" w:rsidRPr="0008312F">
        <w:rPr>
          <w:rFonts w:ascii="David" w:eastAsia="Calibri" w:hAnsi="David" w:hint="cs"/>
          <w:noProof w:val="0"/>
          <w:rtl/>
        </w:rPr>
        <w:t xml:space="preserve"> (הדגשה שלי - </w:t>
      </w:r>
      <w:r w:rsidR="0008312F" w:rsidRPr="0008312F">
        <w:rPr>
          <w:rFonts w:ascii="David" w:eastAsia="Calibri" w:hAnsi="David" w:hint="cs"/>
          <w:b/>
          <w:bCs/>
          <w:noProof w:val="0"/>
          <w:rtl/>
        </w:rPr>
        <w:t>ה.ג.</w:t>
      </w:r>
      <w:r w:rsidR="0008312F" w:rsidRPr="0008312F">
        <w:rPr>
          <w:rFonts w:ascii="David" w:eastAsia="Calibri" w:hAnsi="David" w:hint="cs"/>
          <w:noProof w:val="0"/>
          <w:rtl/>
        </w:rPr>
        <w:t>)</w:t>
      </w:r>
      <w:r w:rsidR="0008312F">
        <w:rPr>
          <w:rFonts w:ascii="David" w:eastAsia="Calibri" w:hAnsi="David" w:hint="cs"/>
          <w:noProof w:val="0"/>
          <w:rtl/>
        </w:rPr>
        <w:t>.</w:t>
      </w:r>
      <w:r w:rsidR="0008312F" w:rsidRPr="0008312F">
        <w:rPr>
          <w:rFonts w:ascii="David" w:eastAsia="Calibri" w:hAnsi="David"/>
          <w:noProof w:val="0"/>
          <w:rtl/>
        </w:rPr>
        <w:t> </w:t>
      </w:r>
    </w:p>
    <w:p w:rsidR="00E34603" w:rsidRPr="00E34603" w:rsidRDefault="00E34603" w:rsidP="0099713C">
      <w:pPr>
        <w:spacing w:after="160" w:line="256" w:lineRule="auto"/>
        <w:ind w:left="425" w:hanging="567"/>
        <w:contextualSpacing/>
        <w:jc w:val="both"/>
        <w:rPr>
          <w:rFonts w:ascii="David" w:eastAsia="Calibri" w:hAnsi="David"/>
          <w:noProof w:val="0"/>
        </w:rPr>
      </w:pPr>
    </w:p>
    <w:p w:rsidR="00E34603" w:rsidRDefault="00E34603" w:rsidP="00735EBF">
      <w:pPr>
        <w:numPr>
          <w:ilvl w:val="0"/>
          <w:numId w:val="4"/>
        </w:numPr>
        <w:spacing w:after="160" w:line="360" w:lineRule="auto"/>
        <w:ind w:left="425" w:hanging="425"/>
        <w:contextualSpacing/>
        <w:jc w:val="both"/>
        <w:rPr>
          <w:rFonts w:ascii="David" w:eastAsia="Calibri" w:hAnsi="David"/>
          <w:noProof w:val="0"/>
        </w:rPr>
      </w:pPr>
      <w:r w:rsidRPr="00E34603">
        <w:rPr>
          <w:rFonts w:ascii="David" w:eastAsia="Calibri" w:hAnsi="David"/>
          <w:noProof w:val="0"/>
          <w:rtl/>
        </w:rPr>
        <w:t>סעיף 42 ל</w:t>
      </w:r>
      <w:hyperlink r:id="rId12" w:history="1">
        <w:r w:rsidRPr="00E34603">
          <w:rPr>
            <w:rFonts w:ascii="David" w:eastAsia="Calibri" w:hAnsi="David"/>
            <w:noProof w:val="0"/>
            <w:rtl/>
          </w:rPr>
          <w:t>חוק הירושה</w:t>
        </w:r>
      </w:hyperlink>
      <w:r w:rsidRPr="00E34603">
        <w:rPr>
          <w:rFonts w:ascii="David" w:eastAsia="Calibri" w:hAnsi="David"/>
          <w:noProof w:val="0"/>
          <w:rtl/>
        </w:rPr>
        <w:t> עוסק בהוראת "</w:t>
      </w:r>
      <w:r w:rsidRPr="00E34603">
        <w:rPr>
          <w:rFonts w:ascii="David" w:eastAsia="Calibri" w:hAnsi="David"/>
          <w:b/>
          <w:bCs/>
          <w:noProof w:val="0"/>
          <w:rtl/>
        </w:rPr>
        <w:t>יורש אחר יורש"</w:t>
      </w:r>
      <w:r w:rsidR="0008312F">
        <w:rPr>
          <w:rFonts w:ascii="David" w:eastAsia="Calibri" w:hAnsi="David" w:hint="cs"/>
          <w:noProof w:val="0"/>
          <w:rtl/>
        </w:rPr>
        <w:t>, והוא קובע כדלהלן</w:t>
      </w:r>
      <w:r w:rsidRPr="00E34603">
        <w:rPr>
          <w:rFonts w:ascii="David" w:eastAsia="Calibri" w:hAnsi="David"/>
          <w:noProof w:val="0"/>
          <w:rtl/>
        </w:rPr>
        <w:t>:</w:t>
      </w:r>
    </w:p>
    <w:p w:rsidR="0008312F" w:rsidRPr="00E34603" w:rsidRDefault="0008312F" w:rsidP="0008312F">
      <w:pPr>
        <w:spacing w:after="160" w:line="360" w:lineRule="auto"/>
        <w:ind w:left="425"/>
        <w:contextualSpacing/>
        <w:jc w:val="both"/>
        <w:rPr>
          <w:rFonts w:ascii="David" w:eastAsia="Calibri" w:hAnsi="David"/>
          <w:noProof w:val="0"/>
          <w:rtl/>
        </w:rPr>
      </w:pPr>
    </w:p>
    <w:p w:rsidR="00E34603" w:rsidRPr="00E34603" w:rsidRDefault="00E34603" w:rsidP="0008312F">
      <w:pPr>
        <w:spacing w:line="360" w:lineRule="auto"/>
        <w:ind w:left="425"/>
        <w:jc w:val="both"/>
        <w:rPr>
          <w:rFonts w:ascii="David" w:eastAsia="Calibri" w:hAnsi="David"/>
          <w:b/>
          <w:bCs/>
          <w:noProof w:val="0"/>
        </w:rPr>
      </w:pPr>
      <w:r w:rsidRPr="00E34603">
        <w:rPr>
          <w:rFonts w:ascii="David" w:eastAsia="Calibri" w:hAnsi="David"/>
          <w:b/>
          <w:bCs/>
          <w:noProof w:val="0"/>
          <w:rtl/>
        </w:rPr>
        <w:t xml:space="preserve">"(א)המצווה רשאי לצוות לשניים על מנת שיזכה השני </w:t>
      </w:r>
      <w:r w:rsidRPr="0008312F">
        <w:rPr>
          <w:rFonts w:ascii="David" w:eastAsia="Calibri" w:hAnsi="David"/>
          <w:b/>
          <w:bCs/>
          <w:noProof w:val="0"/>
          <w:u w:val="single"/>
          <w:rtl/>
        </w:rPr>
        <w:t>אחרי שזכה הראשון</w:t>
      </w:r>
      <w:r w:rsidRPr="00E34603">
        <w:rPr>
          <w:rFonts w:ascii="David" w:eastAsia="Calibri" w:hAnsi="David"/>
          <w:b/>
          <w:bCs/>
          <w:noProof w:val="0"/>
          <w:rtl/>
        </w:rPr>
        <w:t>; השני יזכה במות הראשון או בהתקיים התנאי או בהגיע המועד שנקבע לכך בצוואה, הכל לפי המוקדם יותר.</w:t>
      </w:r>
    </w:p>
    <w:p w:rsidR="00E34603" w:rsidRPr="0008312F" w:rsidRDefault="00E34603" w:rsidP="0008312F">
      <w:pPr>
        <w:spacing w:line="360" w:lineRule="auto"/>
        <w:ind w:left="425"/>
        <w:jc w:val="both"/>
        <w:rPr>
          <w:rFonts w:ascii="David" w:eastAsia="Calibri" w:hAnsi="David"/>
          <w:noProof w:val="0"/>
          <w:rtl/>
        </w:rPr>
      </w:pPr>
      <w:r w:rsidRPr="00E34603">
        <w:rPr>
          <w:rFonts w:ascii="David" w:eastAsia="Calibri" w:hAnsi="David"/>
          <w:b/>
          <w:bCs/>
          <w:noProof w:val="0"/>
          <w:rtl/>
        </w:rPr>
        <w:t xml:space="preserve">(ב)הראשון רשאי לעשות במה שקיבל כבתוך שלו, והשני לא יזכה אלא במה ששייר הראשון; אולם </w:t>
      </w:r>
      <w:r w:rsidRPr="0008312F">
        <w:rPr>
          <w:rFonts w:ascii="David" w:eastAsia="Calibri" w:hAnsi="David"/>
          <w:b/>
          <w:bCs/>
          <w:noProof w:val="0"/>
          <w:u w:val="single"/>
          <w:rtl/>
        </w:rPr>
        <w:t>אין הראשון יכול לגרוע מזכותו של השני על ידי צוואה.</w:t>
      </w:r>
      <w:r w:rsidR="0008312F">
        <w:rPr>
          <w:rFonts w:ascii="David" w:eastAsia="Calibri" w:hAnsi="David" w:hint="cs"/>
          <w:b/>
          <w:bCs/>
          <w:noProof w:val="0"/>
          <w:u w:val="single"/>
          <w:rtl/>
        </w:rPr>
        <w:t>.."</w:t>
      </w:r>
      <w:r w:rsidR="0008312F" w:rsidRPr="0008312F">
        <w:rPr>
          <w:rtl/>
        </w:rPr>
        <w:t xml:space="preserve"> </w:t>
      </w:r>
      <w:r w:rsidR="0008312F" w:rsidRPr="0008312F">
        <w:rPr>
          <w:rFonts w:ascii="David" w:eastAsia="Calibri" w:hAnsi="David"/>
          <w:noProof w:val="0"/>
          <w:rtl/>
        </w:rPr>
        <w:t xml:space="preserve">(הדגשה שלי - </w:t>
      </w:r>
      <w:r w:rsidR="0008312F" w:rsidRPr="0008312F">
        <w:rPr>
          <w:rFonts w:ascii="David" w:eastAsia="Calibri" w:hAnsi="David"/>
          <w:b/>
          <w:bCs/>
          <w:noProof w:val="0"/>
          <w:rtl/>
        </w:rPr>
        <w:t>ה.ג.</w:t>
      </w:r>
      <w:r w:rsidR="0008312F" w:rsidRPr="0008312F">
        <w:rPr>
          <w:rFonts w:ascii="David" w:eastAsia="Calibri" w:hAnsi="David"/>
          <w:noProof w:val="0"/>
          <w:rtl/>
        </w:rPr>
        <w:t>)</w:t>
      </w:r>
      <w:r w:rsidR="0008312F">
        <w:rPr>
          <w:rFonts w:ascii="David" w:eastAsia="Calibri" w:hAnsi="David" w:hint="cs"/>
          <w:noProof w:val="0"/>
          <w:rtl/>
        </w:rPr>
        <w:t>.</w:t>
      </w:r>
    </w:p>
    <w:p w:rsidR="00E34603" w:rsidRPr="00E34603" w:rsidRDefault="00E34603" w:rsidP="0099713C">
      <w:pPr>
        <w:spacing w:line="360" w:lineRule="auto"/>
        <w:ind w:left="425" w:hanging="567"/>
        <w:jc w:val="both"/>
        <w:rPr>
          <w:rFonts w:ascii="David" w:eastAsia="Calibri" w:hAnsi="David"/>
          <w:noProof w:val="0"/>
          <w:rtl/>
        </w:rPr>
      </w:pPr>
    </w:p>
    <w:p w:rsidR="00735EBF" w:rsidRPr="00735EBF" w:rsidRDefault="00E34603" w:rsidP="00735EBF">
      <w:pPr>
        <w:numPr>
          <w:ilvl w:val="0"/>
          <w:numId w:val="4"/>
        </w:numPr>
        <w:spacing w:after="160" w:line="360" w:lineRule="auto"/>
        <w:ind w:left="425" w:hanging="425"/>
        <w:contextualSpacing/>
        <w:jc w:val="both"/>
        <w:rPr>
          <w:rFonts w:ascii="David" w:eastAsia="Calibri" w:hAnsi="David"/>
          <w:noProof w:val="0"/>
        </w:rPr>
      </w:pPr>
      <w:r w:rsidRPr="00E34603">
        <w:rPr>
          <w:rFonts w:ascii="David" w:eastAsia="Calibri" w:hAnsi="David"/>
          <w:noProof w:val="0"/>
          <w:rtl/>
        </w:rPr>
        <w:t xml:space="preserve">בהלכת </w:t>
      </w:r>
      <w:r w:rsidRPr="004A3A4F">
        <w:rPr>
          <w:rFonts w:ascii="David" w:eastAsia="Calibri" w:hAnsi="David"/>
          <w:noProof w:val="0"/>
          <w:rtl/>
        </w:rPr>
        <w:t>זמיר</w:t>
      </w:r>
      <w:r w:rsidRPr="00E34603">
        <w:rPr>
          <w:rFonts w:ascii="David" w:eastAsia="Calibri" w:hAnsi="David"/>
          <w:noProof w:val="0"/>
          <w:rtl/>
        </w:rPr>
        <w:t xml:space="preserve"> עמדה כב' השופטת נאור על ההבדל בין שתי הוראות </w:t>
      </w:r>
      <w:r w:rsidR="0008312F">
        <w:rPr>
          <w:rFonts w:ascii="David" w:eastAsia="Calibri" w:hAnsi="David" w:hint="cs"/>
          <w:noProof w:val="0"/>
          <w:rtl/>
        </w:rPr>
        <w:t>החוק הללו</w:t>
      </w:r>
      <w:r w:rsidRPr="00E34603">
        <w:rPr>
          <w:rFonts w:ascii="David" w:eastAsia="Calibri" w:hAnsi="David"/>
          <w:noProof w:val="0"/>
          <w:rtl/>
        </w:rPr>
        <w:t xml:space="preserve">: </w:t>
      </w:r>
      <w:r w:rsidRPr="00735EBF">
        <w:rPr>
          <w:rFonts w:ascii="David" w:eastAsia="Calibri" w:hAnsi="David"/>
          <w:noProof w:val="0"/>
          <w:rtl/>
        </w:rPr>
        <w:t>"</w:t>
      </w:r>
      <w:r w:rsidRPr="00735EBF">
        <w:rPr>
          <w:rFonts w:ascii="David" w:eastAsia="Calibri" w:hAnsi="David"/>
          <w:b/>
          <w:bCs/>
          <w:noProof w:val="0"/>
          <w:rtl/>
        </w:rPr>
        <w:t xml:space="preserve">עיון בשני ההסדרים מראה כי ההבדל ביניהם הוא גדול. </w:t>
      </w:r>
      <w:r w:rsidRPr="00735EBF">
        <w:rPr>
          <w:rFonts w:ascii="David" w:eastAsia="Calibri" w:hAnsi="David"/>
          <w:b/>
          <w:bCs/>
          <w:noProof w:val="0"/>
          <w:u w:val="single"/>
          <w:rtl/>
        </w:rPr>
        <w:t>בהסדר של "יורש אחר יורש",</w:t>
      </w:r>
      <w:r w:rsidRPr="00735EBF">
        <w:rPr>
          <w:rFonts w:ascii="David" w:eastAsia="Calibri" w:hAnsi="David"/>
          <w:b/>
          <w:bCs/>
          <w:noProof w:val="0"/>
          <w:rtl/>
        </w:rPr>
        <w:t xml:space="preserve"> הקבוע בסעיף 42 לחוק, המוריש מורה כי במותו, יירש אותו יורש א'; וכן מורה המוריש כי </w:t>
      </w:r>
      <w:r w:rsidRPr="00735EBF">
        <w:rPr>
          <w:rFonts w:ascii="David" w:eastAsia="Calibri" w:hAnsi="David"/>
          <w:b/>
          <w:bCs/>
          <w:noProof w:val="0"/>
          <w:u w:val="single"/>
          <w:rtl/>
        </w:rPr>
        <w:t>לאחר מותו של יורש א'</w:t>
      </w:r>
      <w:r w:rsidRPr="00735EBF">
        <w:rPr>
          <w:rFonts w:ascii="David" w:eastAsia="Calibri" w:hAnsi="David"/>
          <w:b/>
          <w:bCs/>
          <w:noProof w:val="0"/>
          <w:rtl/>
        </w:rPr>
        <w:t xml:space="preserve">, יירש את העזבון יורש ב'. עד להגעת הרכוש ליורש ב', ישנה, בלשונו של הנשיא ברק בעניין מלמד (בע' 712), "תקופת ביניים", בה יורש א' הוא הבעלים של הרכוש. יורש א', בתקופה זו, רשאי "לעשות במה שקיבל כבתוך שלו" (סעיף 42(ב)). יורש ב' יירש רק "מה ששייר" יורש א' (שם). ואולם, על יורש א' מוטלת מגבלה: הוא רשאי, אמנם, לנהוג ברכוש כמנהג בעלים, אך </w:t>
      </w:r>
      <w:r w:rsidRPr="00735EBF">
        <w:rPr>
          <w:rFonts w:ascii="David" w:eastAsia="Calibri" w:hAnsi="David"/>
          <w:b/>
          <w:bCs/>
          <w:noProof w:val="0"/>
          <w:u w:val="single"/>
          <w:rtl/>
        </w:rPr>
        <w:t>לא רשאי הוא לגרוע מחלקו של יורש ב' על ידי צוואה משלו</w:t>
      </w:r>
      <w:r w:rsidRPr="00735EBF">
        <w:rPr>
          <w:rFonts w:ascii="David" w:eastAsia="Calibri" w:hAnsi="David"/>
          <w:b/>
          <w:bCs/>
          <w:noProof w:val="0"/>
          <w:rtl/>
        </w:rPr>
        <w:t xml:space="preserve"> (שם)</w:t>
      </w:r>
      <w:r w:rsidR="000C0E68" w:rsidRPr="00735EBF">
        <w:rPr>
          <w:rFonts w:ascii="David" w:eastAsia="Calibri" w:hAnsi="David" w:hint="cs"/>
          <w:b/>
          <w:bCs/>
          <w:noProof w:val="0"/>
          <w:rtl/>
        </w:rPr>
        <w:t>...</w:t>
      </w:r>
    </w:p>
    <w:p w:rsidR="00735EBF" w:rsidRDefault="00E34603" w:rsidP="00735EBF">
      <w:pPr>
        <w:spacing w:after="160" w:line="360" w:lineRule="auto"/>
        <w:ind w:left="425"/>
        <w:contextualSpacing/>
        <w:jc w:val="both"/>
        <w:rPr>
          <w:rFonts w:ascii="David" w:eastAsia="Calibri" w:hAnsi="David"/>
          <w:noProof w:val="0"/>
        </w:rPr>
      </w:pPr>
      <w:r w:rsidRPr="00735EBF">
        <w:rPr>
          <w:rFonts w:ascii="David" w:eastAsia="Calibri" w:hAnsi="David"/>
          <w:b/>
          <w:bCs/>
          <w:noProof w:val="0"/>
          <w:u w:val="single"/>
          <w:rtl/>
        </w:rPr>
        <w:t>שונה ההסדר של "יורש במקום יורש",</w:t>
      </w:r>
      <w:r w:rsidRPr="00735EBF">
        <w:rPr>
          <w:rFonts w:ascii="David" w:eastAsia="Calibri" w:hAnsi="David"/>
          <w:b/>
          <w:bCs/>
          <w:noProof w:val="0"/>
          <w:rtl/>
        </w:rPr>
        <w:t xml:space="preserve"> הקבוע בסעיף 41 לחוק. לפיו, המוריש מורה כי רכושו יעבור ליורש א', אך אילו יורש א' לא יירש את המוריש, מהסיבות המנויות בחוק, </w:t>
      </w:r>
      <w:r w:rsidRPr="00735EBF">
        <w:rPr>
          <w:rFonts w:ascii="David" w:eastAsia="Calibri" w:hAnsi="David"/>
          <w:b/>
          <w:bCs/>
          <w:noProof w:val="0"/>
          <w:u w:val="single"/>
          <w:rtl/>
        </w:rPr>
        <w:t>יבוא בנעליו</w:t>
      </w:r>
      <w:r w:rsidRPr="00735EBF">
        <w:rPr>
          <w:rFonts w:ascii="David" w:eastAsia="Calibri" w:hAnsi="David"/>
          <w:b/>
          <w:bCs/>
          <w:noProof w:val="0"/>
          <w:rtl/>
        </w:rPr>
        <w:t xml:space="preserve"> יורש ב'. ייעודו של הסדר זה הוא להסדיר מקרה בו המוריש צופה כאפשרות מצב בו מי שקבע כיורשו, לא יוכל לרשת אותו. המוריש קובע חליפין ליורש הראשון אותו קבע. אין בהסדר זה "תקופת ביניים" כמו בהסדר הקודם. היה ויורש א' ירש את הרכוש, הרי שההסדר מוצה, ותם ונשלם. יורש א' יכול להעביר את הרכוש הלאה בחייו, ולהוריש אותו - בין בצו</w:t>
      </w:r>
      <w:r w:rsidR="00B82CAE" w:rsidRPr="00735EBF">
        <w:rPr>
          <w:rFonts w:ascii="David" w:eastAsia="Calibri" w:hAnsi="David"/>
          <w:b/>
          <w:bCs/>
          <w:noProof w:val="0"/>
          <w:rtl/>
        </w:rPr>
        <w:t>ואה, בין על פי דין - למי שיחפוץ</w:t>
      </w:r>
      <w:r w:rsidR="00B82CAE" w:rsidRPr="00735EBF">
        <w:rPr>
          <w:rFonts w:ascii="David" w:eastAsia="Calibri" w:hAnsi="David" w:hint="cs"/>
          <w:b/>
          <w:bCs/>
          <w:noProof w:val="0"/>
          <w:rtl/>
        </w:rPr>
        <w:t>".</w:t>
      </w:r>
      <w:r w:rsidR="00735EBF" w:rsidRPr="00735EBF">
        <w:rPr>
          <w:rFonts w:ascii="David" w:eastAsia="Calibri" w:hAnsi="David"/>
          <w:noProof w:val="0"/>
          <w:rtl/>
        </w:rPr>
        <w:t xml:space="preserve"> (פסקה 10 לפסק דינה).</w:t>
      </w:r>
    </w:p>
    <w:p w:rsidR="00735EBF" w:rsidRDefault="00735EBF" w:rsidP="00735EBF">
      <w:pPr>
        <w:spacing w:after="160" w:line="360" w:lineRule="auto"/>
        <w:ind w:left="425"/>
        <w:contextualSpacing/>
        <w:jc w:val="both"/>
        <w:rPr>
          <w:rFonts w:ascii="David" w:eastAsia="Calibri" w:hAnsi="David"/>
          <w:noProof w:val="0"/>
        </w:rPr>
      </w:pPr>
    </w:p>
    <w:p w:rsidR="00735EBF" w:rsidRPr="00C70226" w:rsidRDefault="00B82CAE" w:rsidP="001D0E9C">
      <w:pPr>
        <w:numPr>
          <w:ilvl w:val="0"/>
          <w:numId w:val="4"/>
        </w:numPr>
        <w:spacing w:after="160" w:line="360" w:lineRule="auto"/>
        <w:ind w:left="425" w:hanging="425"/>
        <w:contextualSpacing/>
        <w:jc w:val="both"/>
        <w:rPr>
          <w:rFonts w:ascii="David" w:eastAsia="Calibri" w:hAnsi="David"/>
          <w:noProof w:val="0"/>
        </w:rPr>
      </w:pPr>
      <w:r w:rsidRPr="00C70226">
        <w:rPr>
          <w:rFonts w:ascii="David" w:eastAsia="Calibri" w:hAnsi="David" w:hint="cs"/>
          <w:noProof w:val="0"/>
          <w:rtl/>
        </w:rPr>
        <w:t xml:space="preserve">לעניין משמעות הוראות אלה, כאשר הן מופיעות </w:t>
      </w:r>
      <w:r w:rsidRPr="00C70226">
        <w:rPr>
          <w:rFonts w:ascii="David" w:eastAsia="Calibri" w:hAnsi="David" w:hint="cs"/>
          <w:noProof w:val="0"/>
          <w:u w:val="single"/>
          <w:rtl/>
        </w:rPr>
        <w:t>בצוואה הדדית</w:t>
      </w:r>
      <w:r w:rsidRPr="00C70226">
        <w:rPr>
          <w:rFonts w:ascii="David" w:eastAsia="Calibri" w:hAnsi="David" w:hint="cs"/>
          <w:noProof w:val="0"/>
          <w:rtl/>
        </w:rPr>
        <w:t xml:space="preserve">, </w:t>
      </w:r>
      <w:r w:rsidR="00E34603" w:rsidRPr="00C70226">
        <w:rPr>
          <w:rFonts w:ascii="David" w:eastAsia="Calibri" w:hAnsi="David"/>
          <w:noProof w:val="0"/>
          <w:rtl/>
        </w:rPr>
        <w:t xml:space="preserve">הבהיר כב' השופט ויצמן בעמ"ש </w:t>
      </w:r>
      <w:r w:rsidR="00C70226" w:rsidRPr="00C70226">
        <w:rPr>
          <w:rFonts w:ascii="David" w:eastAsia="Calibri" w:hAnsi="David" w:hint="cs"/>
          <w:noProof w:val="0"/>
          <w:rtl/>
        </w:rPr>
        <w:t xml:space="preserve">(מחוזי מרכז) </w:t>
      </w:r>
      <w:r w:rsidR="00E34603" w:rsidRPr="00C70226">
        <w:rPr>
          <w:rFonts w:ascii="David" w:eastAsia="Calibri" w:hAnsi="David"/>
          <w:noProof w:val="0"/>
          <w:rtl/>
        </w:rPr>
        <w:t>39317-10-22</w:t>
      </w:r>
      <w:r w:rsidR="00C70226" w:rsidRPr="00C70226">
        <w:rPr>
          <w:rFonts w:ascii="David" w:eastAsia="Calibri" w:hAnsi="David"/>
          <w:rtl/>
        </w:rPr>
        <w:t xml:space="preserve"> </w:t>
      </w:r>
      <w:r w:rsidR="00C70226" w:rsidRPr="00C72B68">
        <w:rPr>
          <w:rFonts w:ascii="David" w:eastAsia="Calibri" w:hAnsi="David"/>
          <w:b/>
          <w:bCs/>
          <w:rtl/>
        </w:rPr>
        <w:t>ד. י. א נ' ג. ק.</w:t>
      </w:r>
      <w:r w:rsidR="00C70226" w:rsidRPr="00C72B68">
        <w:rPr>
          <w:rFonts w:ascii="David" w:eastAsia="Calibri" w:hAnsi="David"/>
          <w:rtl/>
        </w:rPr>
        <w:t xml:space="preserve"> (2.10.2023)‏‏</w:t>
      </w:r>
      <w:r w:rsidRPr="00C70226">
        <w:rPr>
          <w:rFonts w:ascii="David" w:eastAsia="Calibri" w:hAnsi="David" w:hint="cs"/>
          <w:noProof w:val="0"/>
          <w:rtl/>
        </w:rPr>
        <w:t>, כי</w:t>
      </w:r>
      <w:r w:rsidR="00E34603" w:rsidRPr="00C70226">
        <w:rPr>
          <w:rFonts w:ascii="David" w:eastAsia="Calibri" w:hAnsi="David"/>
          <w:noProof w:val="0"/>
          <w:rtl/>
        </w:rPr>
        <w:t>: "...</w:t>
      </w:r>
      <w:r w:rsidR="00E34603" w:rsidRPr="00C70226">
        <w:rPr>
          <w:rFonts w:ascii="David" w:eastAsia="Calibri" w:hAnsi="David"/>
          <w:b/>
          <w:bCs/>
          <w:noProof w:val="0"/>
          <w:rtl/>
        </w:rPr>
        <w:t xml:space="preserve"> צוואה הכוללת הוראת "יורש אחר יורש" מטילה מחוייבות נוספת על היורש הראשון שאינה קיימת במקרה של הוראת "יורש במקום יורש" ואפשר שהוראת צוואה הדדית שכזו יוצרת הסתמכות אף ללא צורך בהפעלת עקרון תום הלב</w:t>
      </w:r>
      <w:r w:rsidR="00E34603" w:rsidRPr="00C70226">
        <w:rPr>
          <w:rFonts w:ascii="David" w:eastAsia="Calibri" w:hAnsi="David"/>
          <w:b/>
          <w:bCs/>
          <w:noProof w:val="0"/>
        </w:rPr>
        <w:t>."</w:t>
      </w:r>
      <w:r w:rsidR="00E34603" w:rsidRPr="00C70226">
        <w:rPr>
          <w:rFonts w:ascii="David" w:eastAsia="Calibri" w:hAnsi="David"/>
          <w:noProof w:val="0"/>
          <w:rtl/>
        </w:rPr>
        <w:t xml:space="preserve"> </w:t>
      </w:r>
    </w:p>
    <w:p w:rsidR="00735EBF" w:rsidRDefault="00735EBF" w:rsidP="00735EBF">
      <w:pPr>
        <w:spacing w:after="160" w:line="360" w:lineRule="auto"/>
        <w:ind w:left="425"/>
        <w:contextualSpacing/>
        <w:jc w:val="both"/>
        <w:rPr>
          <w:rFonts w:ascii="David" w:eastAsia="Calibri" w:hAnsi="David"/>
          <w:noProof w:val="0"/>
        </w:rPr>
      </w:pPr>
    </w:p>
    <w:p w:rsidR="00735EBF" w:rsidRDefault="008D2B8B" w:rsidP="00735EBF">
      <w:pPr>
        <w:numPr>
          <w:ilvl w:val="0"/>
          <w:numId w:val="4"/>
        </w:numPr>
        <w:spacing w:after="160" w:line="360" w:lineRule="auto"/>
        <w:ind w:left="425" w:hanging="425"/>
        <w:contextualSpacing/>
        <w:jc w:val="both"/>
        <w:rPr>
          <w:rFonts w:ascii="David" w:eastAsia="Calibri" w:hAnsi="David"/>
          <w:noProof w:val="0"/>
        </w:rPr>
      </w:pPr>
      <w:r w:rsidRPr="00735EBF">
        <w:rPr>
          <w:rFonts w:ascii="David" w:eastAsia="Calibri" w:hAnsi="David" w:hint="cs"/>
          <w:noProof w:val="0"/>
          <w:rtl/>
        </w:rPr>
        <w:lastRenderedPageBreak/>
        <w:t>בעניינינו אנו</w:t>
      </w:r>
      <w:r w:rsidR="00E34603" w:rsidRPr="00735EBF">
        <w:rPr>
          <w:rFonts w:ascii="David" w:eastAsia="Calibri" w:hAnsi="David"/>
          <w:noProof w:val="0"/>
          <w:rtl/>
        </w:rPr>
        <w:t xml:space="preserve">, </w:t>
      </w:r>
      <w:r w:rsidR="000C0E68" w:rsidRPr="00735EBF">
        <w:rPr>
          <w:rFonts w:ascii="David" w:eastAsia="Calibri" w:hAnsi="David" w:hint="cs"/>
          <w:noProof w:val="0"/>
          <w:rtl/>
        </w:rPr>
        <w:t xml:space="preserve">מצאתי כי יש לראות בהוראות סעיף 5 לצוואה </w:t>
      </w:r>
      <w:r w:rsidR="000C0E68" w:rsidRPr="00735EBF">
        <w:rPr>
          <w:rFonts w:ascii="David" w:eastAsia="Calibri" w:hAnsi="David"/>
          <w:noProof w:val="0"/>
          <w:rtl/>
        </w:rPr>
        <w:t>כהוראת ציווי של "</w:t>
      </w:r>
      <w:r w:rsidR="000C0E68" w:rsidRPr="00735EBF">
        <w:rPr>
          <w:rFonts w:ascii="David" w:eastAsia="Calibri" w:hAnsi="David"/>
          <w:b/>
          <w:bCs/>
          <w:noProof w:val="0"/>
          <w:rtl/>
        </w:rPr>
        <w:t>יורש במקום יורש</w:t>
      </w:r>
      <w:r w:rsidR="000C0E68" w:rsidRPr="00735EBF">
        <w:rPr>
          <w:rFonts w:ascii="David" w:eastAsia="Calibri" w:hAnsi="David"/>
          <w:noProof w:val="0"/>
          <w:rtl/>
        </w:rPr>
        <w:t>"</w:t>
      </w:r>
      <w:r w:rsidR="000C0E68" w:rsidRPr="00735EBF">
        <w:rPr>
          <w:rFonts w:ascii="David" w:eastAsia="Calibri" w:hAnsi="David" w:hint="cs"/>
          <w:noProof w:val="0"/>
          <w:rtl/>
        </w:rPr>
        <w:t>.</w:t>
      </w:r>
    </w:p>
    <w:p w:rsidR="00735EBF" w:rsidRDefault="00735EBF" w:rsidP="00735EBF">
      <w:pPr>
        <w:pStyle w:val="ae"/>
        <w:rPr>
          <w:rFonts w:ascii="David" w:eastAsia="Calibri" w:hAnsi="David"/>
          <w:noProof w:val="0"/>
          <w:rtl/>
        </w:rPr>
      </w:pPr>
    </w:p>
    <w:p w:rsidR="00735EBF" w:rsidRDefault="002F056F" w:rsidP="00735EBF">
      <w:pPr>
        <w:numPr>
          <w:ilvl w:val="0"/>
          <w:numId w:val="4"/>
        </w:numPr>
        <w:spacing w:after="160" w:line="360" w:lineRule="auto"/>
        <w:ind w:left="425" w:hanging="425"/>
        <w:contextualSpacing/>
        <w:jc w:val="both"/>
        <w:rPr>
          <w:rFonts w:ascii="David" w:eastAsia="Calibri" w:hAnsi="David"/>
          <w:noProof w:val="0"/>
        </w:rPr>
      </w:pPr>
      <w:r w:rsidRPr="00735EBF">
        <w:rPr>
          <w:rFonts w:ascii="David" w:eastAsia="Calibri" w:hAnsi="David" w:hint="cs"/>
          <w:noProof w:val="0"/>
          <w:rtl/>
        </w:rPr>
        <w:t xml:space="preserve">מעיון בפסיקה, </w:t>
      </w:r>
      <w:r w:rsidR="00E34603" w:rsidRPr="00735EBF">
        <w:rPr>
          <w:rFonts w:ascii="David" w:eastAsia="Calibri" w:hAnsi="David"/>
          <w:noProof w:val="0"/>
          <w:rtl/>
        </w:rPr>
        <w:t xml:space="preserve">הוראות דומות לסעיף 5 לצוואה שלפנינו פורשו </w:t>
      </w:r>
      <w:r w:rsidR="000C0E68" w:rsidRPr="00735EBF">
        <w:rPr>
          <w:rFonts w:ascii="David" w:eastAsia="Calibri" w:hAnsi="David" w:hint="cs"/>
          <w:noProof w:val="0"/>
          <w:rtl/>
        </w:rPr>
        <w:t xml:space="preserve">כיורש </w:t>
      </w:r>
      <w:r w:rsidR="000C0E68" w:rsidRPr="00735EBF">
        <w:rPr>
          <w:rFonts w:ascii="David" w:eastAsia="Calibri" w:hAnsi="David" w:hint="cs"/>
          <w:b/>
          <w:bCs/>
          <w:noProof w:val="0"/>
          <w:rtl/>
        </w:rPr>
        <w:t>במקום</w:t>
      </w:r>
      <w:r w:rsidR="000C0E68" w:rsidRPr="00735EBF">
        <w:rPr>
          <w:rFonts w:ascii="David" w:eastAsia="Calibri" w:hAnsi="David" w:hint="cs"/>
          <w:noProof w:val="0"/>
          <w:rtl/>
        </w:rPr>
        <w:t xml:space="preserve"> יורש</w:t>
      </w:r>
      <w:r w:rsidR="00735EBF">
        <w:rPr>
          <w:rFonts w:ascii="David" w:eastAsia="Calibri" w:hAnsi="David" w:hint="cs"/>
          <w:noProof w:val="0"/>
          <w:rtl/>
        </w:rPr>
        <w:t>.</w:t>
      </w:r>
    </w:p>
    <w:p w:rsidR="00735EBF" w:rsidRDefault="00735EBF" w:rsidP="00735EBF">
      <w:pPr>
        <w:pStyle w:val="ae"/>
        <w:rPr>
          <w:rFonts w:ascii="David" w:eastAsia="Calibri" w:hAnsi="David"/>
          <w:b/>
          <w:bCs/>
          <w:noProof w:val="0"/>
          <w:rtl/>
        </w:rPr>
      </w:pPr>
    </w:p>
    <w:p w:rsidR="00735EBF" w:rsidRPr="00C70226" w:rsidRDefault="0082160D" w:rsidP="007806D0">
      <w:pPr>
        <w:numPr>
          <w:ilvl w:val="0"/>
          <w:numId w:val="4"/>
        </w:numPr>
        <w:spacing w:after="160" w:line="360" w:lineRule="auto"/>
        <w:ind w:left="425" w:hanging="425"/>
        <w:contextualSpacing/>
        <w:jc w:val="both"/>
        <w:rPr>
          <w:rFonts w:ascii="David" w:eastAsia="Calibri" w:hAnsi="David"/>
          <w:noProof w:val="0"/>
        </w:rPr>
      </w:pPr>
      <w:r w:rsidRPr="004A3A4F">
        <w:rPr>
          <w:rFonts w:ascii="David" w:eastAsia="Calibri" w:hAnsi="David" w:hint="cs"/>
          <w:noProof w:val="0"/>
          <w:u w:val="single"/>
          <w:rtl/>
        </w:rPr>
        <w:t>בפרשת מלמד</w:t>
      </w:r>
      <w:r w:rsidRPr="00C70226">
        <w:rPr>
          <w:rFonts w:ascii="David" w:eastAsia="Calibri" w:hAnsi="David" w:hint="cs"/>
          <w:noProof w:val="0"/>
          <w:rtl/>
        </w:rPr>
        <w:t xml:space="preserve"> </w:t>
      </w:r>
      <w:r w:rsidR="002F056F" w:rsidRPr="00C70226">
        <w:rPr>
          <w:rFonts w:ascii="David" w:eastAsia="Calibri" w:hAnsi="David" w:hint="cs"/>
          <w:noProof w:val="0"/>
          <w:rtl/>
        </w:rPr>
        <w:t xml:space="preserve"> </w:t>
      </w:r>
      <w:r w:rsidRPr="00C70226">
        <w:rPr>
          <w:rFonts w:ascii="David" w:eastAsia="Calibri" w:hAnsi="David"/>
          <w:noProof w:val="0"/>
          <w:rtl/>
        </w:rPr>
        <w:t>לשון ההוראה בצוואתה של ויקטוריה מלמד</w:t>
      </w:r>
      <w:r w:rsidR="002F056F" w:rsidRPr="00C70226">
        <w:rPr>
          <w:rFonts w:ascii="David" w:eastAsia="Calibri" w:hAnsi="David" w:hint="cs"/>
          <w:noProof w:val="0"/>
          <w:rtl/>
        </w:rPr>
        <w:t>, היתה</w:t>
      </w:r>
      <w:r w:rsidRPr="00C70226">
        <w:rPr>
          <w:rFonts w:ascii="David" w:eastAsia="Calibri" w:hAnsi="David"/>
          <w:noProof w:val="0"/>
          <w:rtl/>
        </w:rPr>
        <w:t>: "הנני מצווה כי כל רכושי מכל סוג שהוא, יועבר לאחר מותי לבעלי מלמד ישראל ואם חלילה, אני ובעלי נלך לעולמינו בו זמנית ו/או באותו יום, כי אז אני מצווה כי כל רכושי יחולק בחלקים שווים ליצחק מלמד מרחוב גבעתי 4 בת-ים ושמואל מלמד מרחוב גבעתי 9 בת-ים. כמו כן אני מצווה כי אם אמות לאחר מות בעלי מלמד ישראל, כי אז כל רכושי יחולק בחלקים שווים למלמד יצחק מבת-ים רח' גבעתי 4 ולבנו מלמד שמואל מבת-ים רח' גבעתי 9</w:t>
      </w:r>
      <w:r w:rsidRPr="00C70226">
        <w:rPr>
          <w:rFonts w:ascii="David" w:eastAsia="Calibri" w:hAnsi="David" w:hint="cs"/>
          <w:noProof w:val="0"/>
          <w:rtl/>
        </w:rPr>
        <w:t xml:space="preserve">". </w:t>
      </w:r>
      <w:r w:rsidRPr="00C70226">
        <w:rPr>
          <w:rFonts w:ascii="David" w:eastAsia="Calibri" w:hAnsi="David"/>
          <w:noProof w:val="0"/>
          <w:rtl/>
        </w:rPr>
        <w:t xml:space="preserve">הוראה </w:t>
      </w:r>
      <w:r w:rsidR="002F056F" w:rsidRPr="00C70226">
        <w:rPr>
          <w:rFonts w:ascii="David" w:eastAsia="Calibri" w:hAnsi="David" w:hint="cs"/>
          <w:noProof w:val="0"/>
          <w:rtl/>
        </w:rPr>
        <w:t xml:space="preserve">מקבילה </w:t>
      </w:r>
      <w:r w:rsidRPr="00C70226">
        <w:rPr>
          <w:rFonts w:ascii="David" w:eastAsia="Calibri" w:hAnsi="David"/>
          <w:noProof w:val="0"/>
          <w:rtl/>
        </w:rPr>
        <w:t>מופיעה בצוואה של ישראל מלמד (בעלה של ויקטוריה) תוך שנקבע כי היור</w:t>
      </w:r>
      <w:r w:rsidR="002F056F" w:rsidRPr="00C70226">
        <w:rPr>
          <w:rFonts w:ascii="David" w:eastAsia="Calibri" w:hAnsi="David"/>
          <w:noProof w:val="0"/>
          <w:rtl/>
        </w:rPr>
        <w:t xml:space="preserve">שת הינה </w:t>
      </w:r>
      <w:r w:rsidR="002F056F" w:rsidRPr="00C70226">
        <w:rPr>
          <w:rFonts w:ascii="David" w:eastAsia="Calibri" w:hAnsi="David" w:hint="cs"/>
          <w:noProof w:val="0"/>
          <w:rtl/>
        </w:rPr>
        <w:t xml:space="preserve">בת הזוג- </w:t>
      </w:r>
      <w:r w:rsidR="002F056F" w:rsidRPr="00C70226">
        <w:rPr>
          <w:rFonts w:ascii="David" w:eastAsia="Calibri" w:hAnsi="David"/>
          <w:noProof w:val="0"/>
          <w:rtl/>
        </w:rPr>
        <w:t>ויקטוריה מלמד</w:t>
      </w:r>
      <w:r w:rsidRPr="00C70226">
        <w:rPr>
          <w:rFonts w:ascii="David" w:eastAsia="Calibri" w:hAnsi="David" w:hint="cs"/>
          <w:noProof w:val="0"/>
          <w:rtl/>
        </w:rPr>
        <w:t xml:space="preserve">; כב' השופט ברק </w:t>
      </w:r>
      <w:r w:rsidR="002F056F" w:rsidRPr="00C70226">
        <w:rPr>
          <w:rFonts w:ascii="David" w:eastAsia="Calibri" w:hAnsi="David" w:hint="cs"/>
          <w:noProof w:val="0"/>
          <w:rtl/>
        </w:rPr>
        <w:t xml:space="preserve">קבע </w:t>
      </w:r>
      <w:r w:rsidRPr="00C70226">
        <w:rPr>
          <w:rFonts w:ascii="David" w:eastAsia="Calibri" w:hAnsi="David" w:hint="cs"/>
          <w:noProof w:val="0"/>
          <w:rtl/>
        </w:rPr>
        <w:t xml:space="preserve">כי מדובר בהוראת "יורש </w:t>
      </w:r>
      <w:r w:rsidRPr="00C70226">
        <w:rPr>
          <w:rFonts w:ascii="David" w:eastAsia="Calibri" w:hAnsi="David" w:hint="cs"/>
          <w:b/>
          <w:bCs/>
          <w:noProof w:val="0"/>
          <w:rtl/>
        </w:rPr>
        <w:t>במקום</w:t>
      </w:r>
      <w:r w:rsidRPr="00C70226">
        <w:rPr>
          <w:rFonts w:ascii="David" w:eastAsia="Calibri" w:hAnsi="David" w:hint="cs"/>
          <w:noProof w:val="0"/>
          <w:rtl/>
        </w:rPr>
        <w:t xml:space="preserve"> יורש" והבהיר כך: </w:t>
      </w:r>
      <w:r w:rsidRPr="00C70226">
        <w:rPr>
          <w:rFonts w:ascii="David" w:eastAsia="Calibri" w:hAnsi="David"/>
          <w:noProof w:val="0"/>
          <w:rtl/>
        </w:rPr>
        <w:t>"</w:t>
      </w:r>
      <w:r w:rsidRPr="00C70226">
        <w:rPr>
          <w:rFonts w:ascii="David" w:eastAsia="Calibri" w:hAnsi="David"/>
          <w:b/>
          <w:bCs/>
          <w:noProof w:val="0"/>
          <w:rtl/>
        </w:rPr>
        <w:t xml:space="preserve">לפנינו הסדר של יורש במקום יורש ולא של יורש לאחר יורש. היורשת הראשונה היא ויקטוריה מלמד. אם היא לא תזכה על-פי הצוואה (שכן היא תמות לפני בעלה) יזכו על-פי הצוואה יצחק מלמד ובנו. אם הבעל ימות ראשון, הזוכה היא ויקטוריה מלמד בלא שהצוואה קובעת דבר באשר למה שייעשה ברכוש לאחר מותה. במצב דברים זה לא נעשה כל ניסיון של המוריש לשלוט על רכושו לאחר מותו. עם מותו של המוריש עובר רכושו ליורש הראשון </w:t>
      </w:r>
      <w:r w:rsidR="00C70226" w:rsidRPr="00C70226">
        <w:rPr>
          <w:rFonts w:ascii="David" w:eastAsia="Calibri" w:hAnsi="David" w:hint="cs"/>
          <w:b/>
          <w:bCs/>
          <w:noProof w:val="0"/>
          <w:rtl/>
        </w:rPr>
        <w:t>...</w:t>
      </w:r>
      <w:r w:rsidRPr="00C70226">
        <w:rPr>
          <w:rFonts w:ascii="David" w:eastAsia="Calibri" w:hAnsi="David"/>
          <w:b/>
          <w:bCs/>
          <w:noProof w:val="0"/>
          <w:rtl/>
        </w:rPr>
        <w:t xml:space="preserve"> יהא היורש אשר יהא, הוא רשאי לעשות ברכושו כרצונו, בלא שהאיסור על עריכת צוואה – הכלול בהסדר של יורש אחר יורש – יחול עליו</w:t>
      </w:r>
      <w:r w:rsidR="00C70226" w:rsidRPr="00C70226">
        <w:rPr>
          <w:rFonts w:ascii="David" w:eastAsia="Calibri" w:hAnsi="David" w:hint="cs"/>
          <w:b/>
          <w:bCs/>
          <w:noProof w:val="0"/>
          <w:rtl/>
        </w:rPr>
        <w:t xml:space="preserve"> </w:t>
      </w:r>
      <w:r w:rsidRPr="00C70226">
        <w:rPr>
          <w:rFonts w:ascii="David" w:eastAsia="Calibri" w:hAnsi="David"/>
          <w:noProof w:val="0"/>
        </w:rPr>
        <w:t>."</w:t>
      </w:r>
      <w:r w:rsidRPr="00C70226">
        <w:rPr>
          <w:rFonts w:ascii="David" w:eastAsia="Calibri" w:hAnsi="David" w:hint="cs"/>
          <w:noProof w:val="0"/>
          <w:rtl/>
        </w:rPr>
        <w:t xml:space="preserve"> ראו שם, פסקאות 5 ו-12 לפסק הדין.</w:t>
      </w:r>
      <w:r w:rsidR="00C70226" w:rsidRPr="00C70226">
        <w:rPr>
          <w:rFonts w:ascii="David" w:eastAsia="Calibri" w:hAnsi="David" w:hint="cs"/>
          <w:noProof w:val="0"/>
          <w:rtl/>
        </w:rPr>
        <w:t xml:space="preserve"> </w:t>
      </w:r>
    </w:p>
    <w:p w:rsidR="00735EBF" w:rsidRDefault="00735EBF" w:rsidP="00735EBF">
      <w:pPr>
        <w:spacing w:after="160" w:line="360" w:lineRule="auto"/>
        <w:ind w:left="425"/>
        <w:contextualSpacing/>
        <w:jc w:val="both"/>
        <w:rPr>
          <w:rFonts w:ascii="David" w:eastAsia="Calibri" w:hAnsi="David"/>
          <w:noProof w:val="0"/>
        </w:rPr>
      </w:pPr>
    </w:p>
    <w:p w:rsidR="00735EBF" w:rsidRDefault="00482EF2" w:rsidP="00735EBF">
      <w:pPr>
        <w:numPr>
          <w:ilvl w:val="0"/>
          <w:numId w:val="4"/>
        </w:numPr>
        <w:spacing w:after="160" w:line="360" w:lineRule="auto"/>
        <w:ind w:left="425" w:hanging="425"/>
        <w:contextualSpacing/>
        <w:jc w:val="both"/>
        <w:rPr>
          <w:rFonts w:ascii="David" w:eastAsia="Calibri" w:hAnsi="David"/>
          <w:noProof w:val="0"/>
        </w:rPr>
      </w:pPr>
      <w:r w:rsidRPr="00735EBF">
        <w:rPr>
          <w:rFonts w:ascii="David" w:eastAsia="Calibri" w:hAnsi="David" w:hint="cs"/>
          <w:noProof w:val="0"/>
          <w:rtl/>
        </w:rPr>
        <w:t xml:space="preserve">גם </w:t>
      </w:r>
      <w:r w:rsidRPr="004A3A4F">
        <w:rPr>
          <w:rFonts w:ascii="David" w:eastAsia="Calibri" w:hAnsi="David" w:hint="cs"/>
          <w:noProof w:val="0"/>
          <w:u w:val="single"/>
          <w:rtl/>
        </w:rPr>
        <w:t>בפרשת זמיר</w:t>
      </w:r>
      <w:r w:rsidRPr="00735EBF">
        <w:rPr>
          <w:rFonts w:ascii="David" w:eastAsia="Calibri" w:hAnsi="David" w:hint="cs"/>
          <w:b/>
          <w:bCs/>
          <w:noProof w:val="0"/>
          <w:rtl/>
        </w:rPr>
        <w:t xml:space="preserve"> </w:t>
      </w:r>
      <w:r w:rsidRPr="00735EBF">
        <w:rPr>
          <w:rFonts w:ascii="David" w:eastAsia="Calibri" w:hAnsi="David" w:hint="cs"/>
          <w:noProof w:val="0"/>
          <w:rtl/>
        </w:rPr>
        <w:t>נידונה הוראה דומה בצוואה וכב' השופטת נאור פירשה אותה כהוראת "יורש במקום יורש", כדבריה שם</w:t>
      </w:r>
      <w:r w:rsidRPr="00735EBF">
        <w:rPr>
          <w:rFonts w:ascii="David" w:eastAsia="Calibri" w:hAnsi="David" w:hint="cs"/>
          <w:b/>
          <w:bCs/>
          <w:noProof w:val="0"/>
          <w:rtl/>
        </w:rPr>
        <w:t xml:space="preserve">: </w:t>
      </w:r>
      <w:r w:rsidRPr="00735EBF">
        <w:rPr>
          <w:rFonts w:ascii="David" w:eastAsia="Calibri" w:hAnsi="David"/>
          <w:noProof w:val="0"/>
          <w:rtl/>
        </w:rPr>
        <w:t>"</w:t>
      </w:r>
      <w:r w:rsidRPr="00735EBF">
        <w:rPr>
          <w:rFonts w:ascii="David" w:eastAsia="Calibri" w:hAnsi="David"/>
          <w:b/>
          <w:bCs/>
          <w:noProof w:val="0"/>
          <w:rtl/>
        </w:rPr>
        <w:t xml:space="preserve">בענייננו מדובר בהסדר של "יורש במקום יורש". נביא בשנית את הקטע הרלוונטי מצוואת אם המבקשים:   "5. את יתרת עזבוני במלואו אני מצווה בזה במלואו לבעלי יעקב זמיר (ת.ז. ...) בשלמות.   6. במקרה של פטירת בעלי לפני יעבור חלקו בעזבוני דהיינו יעבור מלוא עזבוני לילדינו אליקום זמיר (ת.ז. ...), חנן זמיר (ת.ז. ...) ודורון זמיר (ת.ז. ...) וזאת בחלקים שווים ביניהם ובמקרה חו"ח של פטירת מי מהם לפני יעבור חלקו בעזבוני לילדיו בחלקים שווים ביניהם". אמם של המבקשים קבעה, איפוא, כי מי שיירש אותה הוא המנוח (סעיף 5 לצוואה). אולם, היא צפתה כי ייתכן והמנוח לא יהיה בחיים בעת פטירתה, ולכן הורתה כי במקרה שכזה, יבואו ילדיהם המשותפים במקומו (סעיף 6). אין בצוואה כל התייחסות ליורש שיבוא אחר המנוח, במקרה בו המנוח הוא היורש. כפי שקבעו הערכאות קמא, זהו הסדר מפורש של "יורש במקום יורש" </w:t>
      </w:r>
      <w:r w:rsidRPr="00735EBF">
        <w:rPr>
          <w:rFonts w:ascii="David" w:eastAsia="Calibri" w:hAnsi="David" w:hint="cs"/>
          <w:b/>
          <w:bCs/>
          <w:noProof w:val="0"/>
          <w:rtl/>
        </w:rPr>
        <w:t>...</w:t>
      </w:r>
      <w:r w:rsidRPr="00735EBF">
        <w:rPr>
          <w:rFonts w:ascii="David" w:eastAsia="Calibri" w:hAnsi="David"/>
          <w:b/>
          <w:bCs/>
          <w:noProof w:val="0"/>
          <w:rtl/>
        </w:rPr>
        <w:t xml:space="preserve"> לאחר שירש המנוח את עזבון אשתו הראשונה, ומשלא קוים התנאי ברישא של סעיף 6 לצוואה, הרי שהוראות הצוואה של אם המבקשים מוצו. המנוח, אם כן, רשאי היה לצוות בצוואתו כפי שחפץ."</w:t>
      </w:r>
      <w:r w:rsidRPr="00735EBF">
        <w:rPr>
          <w:rFonts w:ascii="David" w:eastAsia="Calibri" w:hAnsi="David" w:hint="cs"/>
          <w:noProof w:val="0"/>
          <w:rtl/>
        </w:rPr>
        <w:t>. שם, בפסקה 10 לפסק דינה.</w:t>
      </w:r>
    </w:p>
    <w:p w:rsidR="00735EBF" w:rsidRDefault="00735EBF" w:rsidP="00735EBF">
      <w:pPr>
        <w:pStyle w:val="ae"/>
        <w:rPr>
          <w:rFonts w:ascii="David" w:eastAsia="Calibri" w:hAnsi="David"/>
          <w:noProof w:val="0"/>
          <w:rtl/>
        </w:rPr>
      </w:pPr>
    </w:p>
    <w:p w:rsidR="00735EBF" w:rsidRDefault="0088745D" w:rsidP="00735EBF">
      <w:pPr>
        <w:numPr>
          <w:ilvl w:val="0"/>
          <w:numId w:val="4"/>
        </w:numPr>
        <w:spacing w:after="160" w:line="360" w:lineRule="auto"/>
        <w:ind w:left="425" w:hanging="425"/>
        <w:contextualSpacing/>
        <w:jc w:val="both"/>
        <w:rPr>
          <w:rFonts w:ascii="David" w:eastAsia="Calibri" w:hAnsi="David"/>
          <w:noProof w:val="0"/>
        </w:rPr>
      </w:pPr>
      <w:r w:rsidRPr="00735EBF">
        <w:rPr>
          <w:rFonts w:ascii="David" w:eastAsia="Calibri" w:hAnsi="David"/>
          <w:noProof w:val="0"/>
          <w:rtl/>
        </w:rPr>
        <w:t xml:space="preserve">הוראה דומה נידונה </w:t>
      </w:r>
      <w:r w:rsidRPr="00735EBF">
        <w:rPr>
          <w:rFonts w:ascii="David" w:eastAsia="Calibri" w:hAnsi="David" w:hint="cs"/>
          <w:noProof w:val="0"/>
          <w:rtl/>
        </w:rPr>
        <w:t xml:space="preserve">לאחרונה </w:t>
      </w:r>
      <w:r w:rsidRPr="00735EBF">
        <w:rPr>
          <w:rFonts w:ascii="David" w:eastAsia="Calibri" w:hAnsi="David"/>
          <w:noProof w:val="0"/>
          <w:rtl/>
        </w:rPr>
        <w:t xml:space="preserve">בפני כב' השופטת ציפי כהן אביטן בתמ"ש (משפחה תל אביב-יפו) 23070-04-22 </w:t>
      </w:r>
      <w:r w:rsidRPr="00735EBF">
        <w:rPr>
          <w:rFonts w:ascii="David" w:eastAsia="Calibri" w:hAnsi="David"/>
          <w:b/>
          <w:bCs/>
          <w:noProof w:val="0"/>
          <w:rtl/>
        </w:rPr>
        <w:t>אלמוני נ' אלמונית</w:t>
      </w:r>
      <w:r w:rsidRPr="00735EBF">
        <w:rPr>
          <w:rFonts w:ascii="David" w:eastAsia="Calibri" w:hAnsi="David"/>
          <w:noProof w:val="0"/>
          <w:rtl/>
        </w:rPr>
        <w:t xml:space="preserve"> (30.6.2024)‏‏, </w:t>
      </w:r>
      <w:r w:rsidRPr="00735EBF">
        <w:rPr>
          <w:rFonts w:ascii="David" w:eastAsia="Calibri" w:hAnsi="David" w:hint="cs"/>
          <w:noProof w:val="0"/>
          <w:rtl/>
        </w:rPr>
        <w:t xml:space="preserve">שם </w:t>
      </w:r>
      <w:r w:rsidRPr="00735EBF">
        <w:rPr>
          <w:rFonts w:ascii="David" w:eastAsia="Calibri" w:hAnsi="David"/>
          <w:noProof w:val="0"/>
          <w:rtl/>
        </w:rPr>
        <w:t xml:space="preserve">בה ציווה בן הזוג את מלוא זכויותיו ברכושו ללא יוצא מן הכלל "...לבעלותה המליאה והיחידה של אשתי הטובה והנאמנה...", וכי "במקרה וחו"ח אשתי... לא תהיה בין החיים ביום מותי, אזי יחולק רכושי וינוהל כדלקמן..."; בהמשך הוראה זו נקבע הסדר מפורט בנוגע לחלוקת העיזבון בין ילדיהם, במקרה בו כאמור אשתו של המנוח לא תהיה בין החיים ביום מותו. כב' השופטת אביטן קבעה </w:t>
      </w:r>
      <w:r w:rsidR="006937C6" w:rsidRPr="00735EBF">
        <w:rPr>
          <w:rFonts w:ascii="David" w:eastAsia="Calibri" w:hAnsi="David" w:hint="cs"/>
          <w:noProof w:val="0"/>
          <w:rtl/>
        </w:rPr>
        <w:t>שם,</w:t>
      </w:r>
      <w:r w:rsidRPr="00735EBF">
        <w:rPr>
          <w:rFonts w:ascii="David" w:eastAsia="Calibri" w:hAnsi="David"/>
          <w:noProof w:val="0"/>
          <w:rtl/>
        </w:rPr>
        <w:t xml:space="preserve"> כי: "</w:t>
      </w:r>
      <w:r w:rsidRPr="00735EBF">
        <w:rPr>
          <w:rFonts w:ascii="David" w:eastAsia="Calibri" w:hAnsi="David"/>
          <w:b/>
          <w:bCs/>
          <w:noProof w:val="0"/>
          <w:rtl/>
        </w:rPr>
        <w:t xml:space="preserve">בענייננו, נראה כי לשון הצוואה </w:t>
      </w:r>
      <w:r w:rsidR="006937C6" w:rsidRPr="00735EBF">
        <w:rPr>
          <w:rFonts w:ascii="David" w:eastAsia="Calibri" w:hAnsi="David"/>
          <w:b/>
          <w:bCs/>
          <w:noProof w:val="0"/>
          <w:rtl/>
        </w:rPr>
        <w:t>ברורה דיה.</w:t>
      </w:r>
      <w:r w:rsidRPr="00735EBF">
        <w:rPr>
          <w:rFonts w:ascii="David" w:eastAsia="Calibri" w:hAnsi="David"/>
          <w:b/>
          <w:bCs/>
          <w:noProof w:val="0"/>
          <w:rtl/>
        </w:rPr>
        <w:t xml:space="preserve"> המנוח ציווה את כלל רכושו לנתבעת 1 וציין כי: "במקרה וחו"ח אשתי ____ לא תהיה בין החיים ביום מותי, אזי יחולק רכושי וינוהל כדלקמן..." מלשון הצוואה עולה מפורשות כי זכותם של התובעים (כמו גם של הנתבעים 2-5) לרשת את עזבון המנוח קמה אך לאחר פטירתה של הנתבעת 1 (לאחר אריכות ימים ושנים). בבחינת "יורש במקום יורש". זאת בהתאם להוראות סעיף 41 לחוק הירושה... המנוח מורה, עפ"י לשון הצוואה, כי זכייתם של ילדיו בעזבונו תיעשה אך במצב בו אשתו לא תהא בין החיים במועד פטירתו. כי אז, ילדי המנוח יירשו את עזבונו במקום אשתו</w:t>
      </w:r>
      <w:r w:rsidRPr="00735EBF">
        <w:rPr>
          <w:rFonts w:ascii="David" w:eastAsia="Calibri" w:hAnsi="David"/>
          <w:noProof w:val="0"/>
          <w:rtl/>
        </w:rPr>
        <w:t>"</w:t>
      </w:r>
      <w:r w:rsidR="00762245" w:rsidRPr="00735EBF">
        <w:rPr>
          <w:rFonts w:ascii="David" w:eastAsia="Calibri" w:hAnsi="David" w:hint="cs"/>
          <w:noProof w:val="0"/>
          <w:rtl/>
        </w:rPr>
        <w:t>.</w:t>
      </w:r>
    </w:p>
    <w:p w:rsidR="00735EBF" w:rsidRDefault="00735EBF" w:rsidP="00735EBF">
      <w:pPr>
        <w:pStyle w:val="ae"/>
        <w:rPr>
          <w:rFonts w:ascii="David" w:eastAsia="Calibri" w:hAnsi="David"/>
          <w:noProof w:val="0"/>
          <w:rtl/>
        </w:rPr>
      </w:pPr>
    </w:p>
    <w:p w:rsidR="004F1AA9" w:rsidRDefault="00E34603" w:rsidP="00C70226">
      <w:pPr>
        <w:numPr>
          <w:ilvl w:val="0"/>
          <w:numId w:val="4"/>
        </w:numPr>
        <w:spacing w:after="160" w:line="360" w:lineRule="auto"/>
        <w:ind w:left="425" w:hanging="425"/>
        <w:contextualSpacing/>
        <w:jc w:val="both"/>
        <w:rPr>
          <w:rFonts w:ascii="David" w:eastAsia="Calibri" w:hAnsi="David"/>
          <w:noProof w:val="0"/>
        </w:rPr>
      </w:pPr>
      <w:r w:rsidRPr="00735EBF">
        <w:rPr>
          <w:rFonts w:ascii="David" w:eastAsia="Calibri" w:hAnsi="David"/>
          <w:noProof w:val="0"/>
          <w:rtl/>
        </w:rPr>
        <w:t xml:space="preserve">גם בצוואה שלפנינו </w:t>
      </w:r>
      <w:r w:rsidR="0088745D" w:rsidRPr="00735EBF">
        <w:rPr>
          <w:rFonts w:ascii="David" w:eastAsia="Calibri" w:hAnsi="David" w:hint="cs"/>
          <w:b/>
          <w:bCs/>
          <w:noProof w:val="0"/>
          <w:rtl/>
        </w:rPr>
        <w:t>לשון</w:t>
      </w:r>
      <w:r w:rsidR="0088745D" w:rsidRPr="00735EBF">
        <w:rPr>
          <w:rFonts w:ascii="David" w:eastAsia="Calibri" w:hAnsi="David" w:hint="cs"/>
          <w:noProof w:val="0"/>
          <w:rtl/>
        </w:rPr>
        <w:t xml:space="preserve"> הצוואה כפשוטה ברורה היא</w:t>
      </w:r>
      <w:r w:rsidR="006937C6" w:rsidRPr="00735EBF">
        <w:rPr>
          <w:rFonts w:ascii="David" w:eastAsia="Calibri" w:hAnsi="David" w:hint="cs"/>
          <w:noProof w:val="0"/>
          <w:rtl/>
        </w:rPr>
        <w:t>,</w:t>
      </w:r>
      <w:r w:rsidR="0088745D" w:rsidRPr="00735EBF">
        <w:rPr>
          <w:rFonts w:ascii="David" w:eastAsia="Calibri" w:hAnsi="David" w:hint="cs"/>
          <w:noProof w:val="0"/>
          <w:rtl/>
        </w:rPr>
        <w:t xml:space="preserve"> ומלמדת על הוראת "יורש </w:t>
      </w:r>
      <w:r w:rsidR="0088745D" w:rsidRPr="00735EBF">
        <w:rPr>
          <w:rFonts w:ascii="David" w:eastAsia="Calibri" w:hAnsi="David" w:hint="cs"/>
          <w:b/>
          <w:bCs/>
          <w:noProof w:val="0"/>
          <w:rtl/>
        </w:rPr>
        <w:t>במקום</w:t>
      </w:r>
      <w:r w:rsidR="0088745D" w:rsidRPr="00735EBF">
        <w:rPr>
          <w:rFonts w:ascii="David" w:eastAsia="Calibri" w:hAnsi="David" w:hint="cs"/>
          <w:noProof w:val="0"/>
          <w:rtl/>
        </w:rPr>
        <w:t xml:space="preserve"> יורש". לא מצאתי בהוראות הצוואה שלפני</w:t>
      </w:r>
      <w:r w:rsidRPr="00735EBF">
        <w:rPr>
          <w:rFonts w:ascii="David" w:eastAsia="Calibri" w:hAnsi="David"/>
          <w:noProof w:val="0"/>
          <w:rtl/>
        </w:rPr>
        <w:t xml:space="preserve"> כל התייחסות למצב של יורש שיבוא </w:t>
      </w:r>
      <w:r w:rsidRPr="00735EBF">
        <w:rPr>
          <w:rFonts w:ascii="David" w:eastAsia="Calibri" w:hAnsi="David"/>
          <w:noProof w:val="0"/>
          <w:u w:val="single"/>
          <w:rtl/>
        </w:rPr>
        <w:t>אחר</w:t>
      </w:r>
      <w:r w:rsidRPr="00735EBF">
        <w:rPr>
          <w:rFonts w:ascii="David" w:eastAsia="Calibri" w:hAnsi="David"/>
          <w:noProof w:val="0"/>
          <w:rtl/>
        </w:rPr>
        <w:t xml:space="preserve"> המנוחה במקרה בו המנוחה היא היורשת, אלא רק למצב בו "בן הזוג היורש לא יהיה בחיים בעת פטירת אחד מאיתנו"</w:t>
      </w:r>
      <w:r w:rsidR="004F1AA9">
        <w:rPr>
          <w:rFonts w:ascii="David" w:eastAsia="Calibri" w:hAnsi="David" w:hint="cs"/>
          <w:noProof w:val="0"/>
          <w:rtl/>
        </w:rPr>
        <w:t>.</w:t>
      </w:r>
    </w:p>
    <w:p w:rsidR="004F1AA9" w:rsidRDefault="004F1AA9" w:rsidP="004F1AA9">
      <w:pPr>
        <w:pStyle w:val="ae"/>
        <w:rPr>
          <w:rtl/>
        </w:rPr>
      </w:pPr>
    </w:p>
    <w:p w:rsidR="00735EBF" w:rsidRDefault="008D2B8B" w:rsidP="00C70226">
      <w:pPr>
        <w:numPr>
          <w:ilvl w:val="0"/>
          <w:numId w:val="4"/>
        </w:numPr>
        <w:spacing w:after="160" w:line="360" w:lineRule="auto"/>
        <w:ind w:left="425" w:hanging="425"/>
        <w:contextualSpacing/>
        <w:jc w:val="both"/>
        <w:rPr>
          <w:rFonts w:ascii="David" w:eastAsia="Calibri" w:hAnsi="David"/>
          <w:noProof w:val="0"/>
        </w:rPr>
      </w:pPr>
      <w:r w:rsidRPr="00735EBF">
        <w:rPr>
          <w:rFonts w:ascii="David" w:eastAsia="Calibri" w:hAnsi="David" w:hint="cs"/>
          <w:noProof w:val="0"/>
          <w:rtl/>
        </w:rPr>
        <w:t xml:space="preserve">לעניין זה יוזכר שוב, </w:t>
      </w:r>
      <w:r w:rsidRPr="00735EBF">
        <w:rPr>
          <w:rFonts w:ascii="David" w:eastAsia="Calibri" w:hAnsi="David"/>
          <w:noProof w:val="0"/>
          <w:rtl/>
        </w:rPr>
        <w:t>כי המבקשת לא ביקשה להעיד את עוה"ד ג'ובראן שניסח עבור המנוחים את הצוואה ההדדית ואף הבהירה מפורשות בדיון קד"מ</w:t>
      </w:r>
      <w:r w:rsidR="00A77C77">
        <w:rPr>
          <w:rFonts w:ascii="David" w:eastAsia="Calibri" w:hAnsi="David" w:hint="cs"/>
          <w:noProof w:val="0"/>
          <w:rtl/>
        </w:rPr>
        <w:t>,</w:t>
      </w:r>
      <w:r w:rsidRPr="00735EBF">
        <w:rPr>
          <w:rFonts w:ascii="David" w:eastAsia="Calibri" w:hAnsi="David"/>
          <w:noProof w:val="0"/>
          <w:rtl/>
        </w:rPr>
        <w:t xml:space="preserve"> כי "</w:t>
      </w:r>
      <w:r w:rsidRPr="00735EBF">
        <w:rPr>
          <w:rFonts w:ascii="David" w:eastAsia="Calibri" w:hAnsi="David"/>
          <w:b/>
          <w:bCs/>
          <w:noProof w:val="0"/>
          <w:rtl/>
        </w:rPr>
        <w:t>בסוגיה זו, יורש לאחר יורש כפי שציינתי. לא נצטרך להביא ראיות למעט לשון הצוואה</w:t>
      </w:r>
      <w:r w:rsidRPr="00735EBF">
        <w:rPr>
          <w:rFonts w:ascii="David" w:eastAsia="Calibri" w:hAnsi="David"/>
          <w:noProof w:val="0"/>
          <w:rtl/>
        </w:rPr>
        <w:t>" (עמ' 6 ש' 4 לפרוט' מיום 31.1.21).</w:t>
      </w:r>
      <w:r w:rsidRPr="00735EBF">
        <w:rPr>
          <w:rFonts w:ascii="David" w:eastAsia="Calibri" w:hAnsi="David" w:hint="cs"/>
          <w:noProof w:val="0"/>
          <w:rtl/>
        </w:rPr>
        <w:t xml:space="preserve"> כך שהימנעותה מלהעיד את עוה"ד שערך את הצוואה נ</w:t>
      </w:r>
      <w:r w:rsidR="0088745D" w:rsidRPr="00735EBF">
        <w:rPr>
          <w:rFonts w:ascii="David" w:eastAsia="Calibri" w:hAnsi="David" w:hint="cs"/>
          <w:noProof w:val="0"/>
          <w:rtl/>
        </w:rPr>
        <w:t>זקפת אפוא לחוב</w:t>
      </w:r>
      <w:r w:rsidRPr="00735EBF">
        <w:rPr>
          <w:rFonts w:ascii="David" w:eastAsia="Calibri" w:hAnsi="David" w:hint="cs"/>
          <w:noProof w:val="0"/>
          <w:rtl/>
        </w:rPr>
        <w:t xml:space="preserve">תה גם לעניין פרשנותה את הוראת סעיף 5, אותה היא למעשה מבקשת ללמוד מהיקש ליתר הוראות הצוואה ולאומד דעתם של </w:t>
      </w:r>
      <w:r w:rsidR="00C70226">
        <w:rPr>
          <w:rFonts w:ascii="David" w:eastAsia="Calibri" w:hAnsi="David" w:hint="cs"/>
          <w:noProof w:val="0"/>
          <w:rtl/>
        </w:rPr>
        <w:t>ה</w:t>
      </w:r>
      <w:r w:rsidRPr="00735EBF">
        <w:rPr>
          <w:rFonts w:ascii="David" w:eastAsia="Calibri" w:hAnsi="David" w:hint="cs"/>
          <w:noProof w:val="0"/>
          <w:rtl/>
        </w:rPr>
        <w:t xml:space="preserve">מנוחים </w:t>
      </w:r>
      <w:r w:rsidR="00C70226">
        <w:rPr>
          <w:rFonts w:ascii="David" w:eastAsia="Calibri" w:hAnsi="David" w:hint="cs"/>
          <w:noProof w:val="0"/>
          <w:rtl/>
        </w:rPr>
        <w:t xml:space="preserve">בכתיבת הוראה זו </w:t>
      </w:r>
      <w:r w:rsidRPr="00735EBF">
        <w:rPr>
          <w:rFonts w:ascii="David" w:eastAsia="Calibri" w:hAnsi="David" w:hint="cs"/>
          <w:noProof w:val="0"/>
          <w:rtl/>
        </w:rPr>
        <w:t>בצווא</w:t>
      </w:r>
      <w:r w:rsidR="00C70226">
        <w:rPr>
          <w:rFonts w:ascii="David" w:eastAsia="Calibri" w:hAnsi="David" w:hint="cs"/>
          <w:noProof w:val="0"/>
          <w:rtl/>
        </w:rPr>
        <w:t>תם</w:t>
      </w:r>
      <w:r w:rsidRPr="00735EBF">
        <w:rPr>
          <w:rFonts w:ascii="David" w:eastAsia="Calibri" w:hAnsi="David" w:hint="cs"/>
          <w:noProof w:val="0"/>
          <w:rtl/>
        </w:rPr>
        <w:t xml:space="preserve"> </w:t>
      </w:r>
      <w:r w:rsidR="00C70226">
        <w:rPr>
          <w:rFonts w:ascii="David" w:eastAsia="Calibri" w:hAnsi="David" w:hint="cs"/>
          <w:noProof w:val="0"/>
          <w:rtl/>
        </w:rPr>
        <w:t>ה</w:t>
      </w:r>
      <w:r w:rsidRPr="00735EBF">
        <w:rPr>
          <w:rFonts w:ascii="David" w:eastAsia="Calibri" w:hAnsi="David" w:hint="cs"/>
          <w:noProof w:val="0"/>
          <w:rtl/>
        </w:rPr>
        <w:t>הדדית.</w:t>
      </w:r>
    </w:p>
    <w:p w:rsidR="00735EBF" w:rsidRDefault="00735EBF" w:rsidP="00735EBF">
      <w:pPr>
        <w:pStyle w:val="ae"/>
        <w:rPr>
          <w:rFonts w:ascii="David" w:eastAsia="Calibri" w:hAnsi="David"/>
          <w:noProof w:val="0"/>
          <w:rtl/>
        </w:rPr>
      </w:pPr>
    </w:p>
    <w:p w:rsidR="00402AB2" w:rsidRDefault="006937C6" w:rsidP="00B43C4D">
      <w:pPr>
        <w:numPr>
          <w:ilvl w:val="0"/>
          <w:numId w:val="4"/>
        </w:numPr>
        <w:spacing w:after="160" w:line="360" w:lineRule="auto"/>
        <w:ind w:left="425" w:hanging="425"/>
        <w:contextualSpacing/>
        <w:jc w:val="both"/>
        <w:rPr>
          <w:rFonts w:ascii="David" w:eastAsia="Calibri" w:hAnsi="David"/>
          <w:noProof w:val="0"/>
        </w:rPr>
      </w:pPr>
      <w:r w:rsidRPr="00402AB2">
        <w:rPr>
          <w:rFonts w:ascii="David" w:eastAsia="Calibri" w:hAnsi="David" w:hint="cs"/>
          <w:noProof w:val="0"/>
          <w:rtl/>
        </w:rPr>
        <w:t>המבקשת ו</w:t>
      </w:r>
      <w:r w:rsidR="00E34603" w:rsidRPr="00402AB2">
        <w:rPr>
          <w:rFonts w:ascii="David" w:eastAsia="Calibri" w:hAnsi="David"/>
          <w:noProof w:val="0"/>
          <w:rtl/>
        </w:rPr>
        <w:t xml:space="preserve">ב"כ היועמ"ש </w:t>
      </w:r>
      <w:r w:rsidR="00D0634A" w:rsidRPr="00402AB2">
        <w:rPr>
          <w:rFonts w:ascii="David" w:eastAsia="Calibri" w:hAnsi="David" w:hint="cs"/>
          <w:noProof w:val="0"/>
          <w:rtl/>
        </w:rPr>
        <w:t>מבקש</w:t>
      </w:r>
      <w:r w:rsidRPr="00402AB2">
        <w:rPr>
          <w:rFonts w:ascii="David" w:eastAsia="Calibri" w:hAnsi="David" w:hint="cs"/>
          <w:noProof w:val="0"/>
          <w:rtl/>
        </w:rPr>
        <w:t>ו</w:t>
      </w:r>
      <w:r w:rsidR="00D0634A" w:rsidRPr="00402AB2">
        <w:rPr>
          <w:rFonts w:ascii="David" w:eastAsia="Calibri" w:hAnsi="David" w:hint="cs"/>
          <w:noProof w:val="0"/>
          <w:rtl/>
        </w:rPr>
        <w:t xml:space="preserve">ת </w:t>
      </w:r>
      <w:r w:rsidR="00E34603" w:rsidRPr="00402AB2">
        <w:rPr>
          <w:rFonts w:ascii="David" w:eastAsia="Calibri" w:hAnsi="David"/>
          <w:noProof w:val="0"/>
          <w:rtl/>
        </w:rPr>
        <w:t>לפרש את אומד דעתם של המנוחים במקרה דנן</w:t>
      </w:r>
      <w:r w:rsidRPr="00402AB2">
        <w:rPr>
          <w:rFonts w:ascii="David" w:eastAsia="Calibri" w:hAnsi="David" w:hint="cs"/>
          <w:noProof w:val="0"/>
          <w:rtl/>
        </w:rPr>
        <w:t>,</w:t>
      </w:r>
      <w:r w:rsidR="00E34603" w:rsidRPr="00402AB2">
        <w:rPr>
          <w:rFonts w:ascii="David" w:eastAsia="Calibri" w:hAnsi="David"/>
          <w:noProof w:val="0"/>
          <w:rtl/>
        </w:rPr>
        <w:t xml:space="preserve"> לנוכח </w:t>
      </w:r>
      <w:r w:rsidRPr="00402AB2">
        <w:rPr>
          <w:rFonts w:ascii="David" w:eastAsia="Calibri" w:hAnsi="David" w:hint="cs"/>
          <w:noProof w:val="0"/>
          <w:rtl/>
        </w:rPr>
        <w:t>יתר הוראות הצוואה</w:t>
      </w:r>
      <w:r w:rsidR="00C70226" w:rsidRPr="00402AB2">
        <w:rPr>
          <w:rFonts w:ascii="David" w:eastAsia="Calibri" w:hAnsi="David" w:hint="cs"/>
          <w:noProof w:val="0"/>
          <w:rtl/>
        </w:rPr>
        <w:t xml:space="preserve"> ההדדית שערכו</w:t>
      </w:r>
      <w:r w:rsidRPr="00402AB2">
        <w:rPr>
          <w:rFonts w:ascii="David" w:eastAsia="Calibri" w:hAnsi="David" w:hint="cs"/>
          <w:noProof w:val="0"/>
          <w:rtl/>
        </w:rPr>
        <w:t xml:space="preserve">, וכן לאור </w:t>
      </w:r>
      <w:r w:rsidR="00E34603" w:rsidRPr="00402AB2">
        <w:rPr>
          <w:rFonts w:ascii="David" w:eastAsia="Calibri" w:hAnsi="David"/>
          <w:noProof w:val="0"/>
          <w:rtl/>
        </w:rPr>
        <w:t>מתווה החלוקה המופיע בסעיף 5</w:t>
      </w:r>
      <w:r w:rsidRPr="00402AB2">
        <w:rPr>
          <w:rFonts w:ascii="David" w:eastAsia="Calibri" w:hAnsi="David" w:hint="cs"/>
          <w:noProof w:val="0"/>
          <w:rtl/>
        </w:rPr>
        <w:t>,</w:t>
      </w:r>
      <w:r w:rsidR="00E34603" w:rsidRPr="00402AB2">
        <w:rPr>
          <w:rFonts w:ascii="David" w:eastAsia="Calibri" w:hAnsi="David"/>
          <w:noProof w:val="0"/>
          <w:rtl/>
        </w:rPr>
        <w:t xml:space="preserve"> </w:t>
      </w:r>
      <w:r w:rsidRPr="00402AB2">
        <w:rPr>
          <w:rFonts w:ascii="David" w:eastAsia="Calibri" w:hAnsi="David" w:hint="cs"/>
          <w:noProof w:val="0"/>
          <w:rtl/>
        </w:rPr>
        <w:t>על פי</w:t>
      </w:r>
      <w:r w:rsidR="00E34603" w:rsidRPr="00402AB2">
        <w:rPr>
          <w:rFonts w:ascii="David" w:eastAsia="Calibri" w:hAnsi="David"/>
          <w:noProof w:val="0"/>
          <w:rtl/>
        </w:rPr>
        <w:t xml:space="preserve"> </w:t>
      </w:r>
      <w:r w:rsidR="00B17D8F" w:rsidRPr="00402AB2">
        <w:rPr>
          <w:rFonts w:ascii="David" w:eastAsia="Calibri" w:hAnsi="David" w:hint="cs"/>
          <w:noProof w:val="0"/>
          <w:rtl/>
        </w:rPr>
        <w:t>בסיס</w:t>
      </w:r>
      <w:r w:rsidR="00E34603" w:rsidRPr="00402AB2">
        <w:rPr>
          <w:rFonts w:ascii="David" w:eastAsia="Calibri" w:hAnsi="David"/>
          <w:noProof w:val="0"/>
          <w:rtl/>
        </w:rPr>
        <w:t xml:space="preserve"> </w:t>
      </w:r>
      <w:r w:rsidR="00E34603" w:rsidRPr="00402AB2">
        <w:rPr>
          <w:rFonts w:ascii="David" w:eastAsia="Calibri" w:hAnsi="David"/>
          <w:b/>
          <w:bCs/>
          <w:noProof w:val="0"/>
          <w:rtl/>
        </w:rPr>
        <w:t xml:space="preserve">עקרון </w:t>
      </w:r>
      <w:r w:rsidR="00B17D8F" w:rsidRPr="00402AB2">
        <w:rPr>
          <w:rFonts w:ascii="David" w:eastAsia="Calibri" w:hAnsi="David" w:hint="cs"/>
          <w:b/>
          <w:bCs/>
          <w:noProof w:val="0"/>
          <w:rtl/>
        </w:rPr>
        <w:t>ה</w:t>
      </w:r>
      <w:r w:rsidR="00E34603" w:rsidRPr="00402AB2">
        <w:rPr>
          <w:rFonts w:ascii="David" w:eastAsia="Calibri" w:hAnsi="David"/>
          <w:b/>
          <w:bCs/>
          <w:noProof w:val="0"/>
          <w:rtl/>
        </w:rPr>
        <w:t>הסתמכות</w:t>
      </w:r>
      <w:r w:rsidR="00E34603" w:rsidRPr="00402AB2">
        <w:rPr>
          <w:rFonts w:ascii="David" w:eastAsia="Calibri" w:hAnsi="David"/>
          <w:noProof w:val="0"/>
          <w:rtl/>
        </w:rPr>
        <w:t xml:space="preserve"> של המנוחים</w:t>
      </w:r>
      <w:r w:rsidR="00B17D8F" w:rsidRPr="00402AB2">
        <w:rPr>
          <w:rFonts w:ascii="David" w:eastAsia="Calibri" w:hAnsi="David" w:hint="cs"/>
          <w:noProof w:val="0"/>
          <w:rtl/>
        </w:rPr>
        <w:t>,</w:t>
      </w:r>
      <w:r w:rsidR="00E34603" w:rsidRPr="00402AB2">
        <w:rPr>
          <w:rFonts w:ascii="David" w:eastAsia="Calibri" w:hAnsi="David"/>
          <w:noProof w:val="0"/>
          <w:rtl/>
        </w:rPr>
        <w:t xml:space="preserve"> שכל אחד מהם לא ישנה את הוראות הצוואה ולא יגרום לחלוקה הסוטה מהוראות אלה שנקבעו במשותף שנקבעו על ידי שניהם יחד</w:t>
      </w:r>
      <w:r w:rsidR="00402AB2">
        <w:rPr>
          <w:rFonts w:ascii="David" w:eastAsia="Calibri" w:hAnsi="David" w:hint="cs"/>
          <w:noProof w:val="0"/>
          <w:rtl/>
        </w:rPr>
        <w:t>, כדברי ב"כ היועמ"ש בסעיף 30 לעמדתה</w:t>
      </w:r>
      <w:r w:rsidR="00E34603" w:rsidRPr="00402AB2">
        <w:rPr>
          <w:rFonts w:ascii="David" w:eastAsia="Calibri" w:hAnsi="David"/>
          <w:noProof w:val="0"/>
          <w:rtl/>
        </w:rPr>
        <w:t xml:space="preserve"> </w:t>
      </w:r>
      <w:r w:rsidRPr="00402AB2">
        <w:rPr>
          <w:rFonts w:ascii="David" w:eastAsia="Calibri" w:hAnsi="David" w:hint="cs"/>
          <w:noProof w:val="0"/>
          <w:rtl/>
        </w:rPr>
        <w:t xml:space="preserve">- </w:t>
      </w:r>
      <w:r w:rsidRPr="00402AB2">
        <w:rPr>
          <w:rFonts w:ascii="David" w:eastAsia="Calibri" w:hAnsi="David"/>
          <w:noProof w:val="0"/>
          <w:rtl/>
        </w:rPr>
        <w:t>"לפי אומד דעתם המשותף של בני הזוג, והתוכנית המשותפת שעמדה ביסוד הצוואה כולה...נראה כי בני הזוג לא ראו בעיני רוחם שינוי או ביטול חד צדדי של מטרותיהם המשותפות בכל הנוגע לעיזבונם ואופן חלוקתו בין הזוכים. הם לא היו רוצים להניח לנותר בחיים "לרוקן" את העיזבון ולהעביר נכסים לצדדי ג' שאינם "בנותנו ובננו" לפי המתווה הקבוע בסעיף 5 לצוואה אליו הגיעו "לאחר שיקול דעת מעמיק וממושך..." (סעיף 9 לצוואה) "</w:t>
      </w:r>
      <w:r w:rsidRPr="00402AB2">
        <w:rPr>
          <w:rFonts w:ascii="David" w:eastAsia="Calibri" w:hAnsi="David" w:hint="cs"/>
          <w:noProof w:val="0"/>
          <w:rtl/>
        </w:rPr>
        <w:t xml:space="preserve">. </w:t>
      </w:r>
    </w:p>
    <w:p w:rsidR="00402AB2" w:rsidRDefault="00402AB2" w:rsidP="00402AB2">
      <w:pPr>
        <w:pStyle w:val="ae"/>
        <w:rPr>
          <w:rFonts w:ascii="David" w:eastAsia="Calibri" w:hAnsi="David"/>
          <w:noProof w:val="0"/>
          <w:rtl/>
        </w:rPr>
      </w:pPr>
    </w:p>
    <w:p w:rsidR="00B43C4D" w:rsidRPr="00402AB2" w:rsidRDefault="006937C6" w:rsidP="00AA32EC">
      <w:pPr>
        <w:numPr>
          <w:ilvl w:val="0"/>
          <w:numId w:val="4"/>
        </w:numPr>
        <w:spacing w:after="160" w:line="360" w:lineRule="auto"/>
        <w:ind w:left="425" w:hanging="425"/>
        <w:contextualSpacing/>
        <w:jc w:val="both"/>
        <w:rPr>
          <w:rFonts w:ascii="David" w:eastAsia="Calibri" w:hAnsi="David"/>
          <w:noProof w:val="0"/>
        </w:rPr>
      </w:pPr>
      <w:r w:rsidRPr="00402AB2">
        <w:rPr>
          <w:rFonts w:ascii="David" w:eastAsia="Calibri" w:hAnsi="David" w:hint="cs"/>
          <w:noProof w:val="0"/>
          <w:rtl/>
        </w:rPr>
        <w:t>דא עקא,</w:t>
      </w:r>
      <w:r w:rsidR="0088745D" w:rsidRPr="00402AB2">
        <w:rPr>
          <w:rFonts w:ascii="David" w:eastAsia="Calibri" w:hAnsi="David" w:hint="cs"/>
          <w:noProof w:val="0"/>
          <w:rtl/>
        </w:rPr>
        <w:t xml:space="preserve"> </w:t>
      </w:r>
      <w:r w:rsidRPr="00402AB2">
        <w:rPr>
          <w:rFonts w:ascii="David" w:eastAsia="Calibri" w:hAnsi="David" w:hint="cs"/>
          <w:noProof w:val="0"/>
          <w:rtl/>
        </w:rPr>
        <w:t xml:space="preserve">כב' השופט דנציגר </w:t>
      </w:r>
      <w:r w:rsidR="00120B81" w:rsidRPr="00402AB2">
        <w:rPr>
          <w:rFonts w:ascii="David" w:eastAsia="Calibri" w:hAnsi="David" w:hint="cs"/>
          <w:noProof w:val="0"/>
          <w:rtl/>
        </w:rPr>
        <w:t>הבהיר בפסק דינו בעניין אמסטר</w:t>
      </w:r>
      <w:r w:rsidR="00402AB2">
        <w:rPr>
          <w:rFonts w:ascii="David" w:eastAsia="Calibri" w:hAnsi="David" w:hint="cs"/>
          <w:noProof w:val="0"/>
          <w:rtl/>
        </w:rPr>
        <w:t xml:space="preserve"> הנ"ל</w:t>
      </w:r>
      <w:r w:rsidR="00AA32EC" w:rsidRPr="00402AB2">
        <w:rPr>
          <w:rFonts w:ascii="David" w:eastAsia="Calibri" w:hAnsi="David" w:hint="cs"/>
          <w:noProof w:val="0"/>
          <w:rtl/>
        </w:rPr>
        <w:t>,</w:t>
      </w:r>
      <w:r w:rsidR="00120B81" w:rsidRPr="00402AB2">
        <w:rPr>
          <w:rFonts w:ascii="David" w:eastAsia="Calibri" w:hAnsi="David" w:hint="cs"/>
          <w:noProof w:val="0"/>
          <w:rtl/>
        </w:rPr>
        <w:t xml:space="preserve"> כי ספק אם ישנה הצדקה לנקוט בהליך פרשני של צוואה המעמיד את המצווה הספציפי (שכבר אינו בין החיים בשלב זה ולא ניתן לשאול אותו למה התכוון), בנעליו של מצווה סביר, ולבחון מה צריך היה להיות אומד דעתו ההיפותטי, תוך מתן פרשנות </w:t>
      </w:r>
      <w:r w:rsidR="00120B81" w:rsidRPr="00402AB2">
        <w:rPr>
          <w:rFonts w:ascii="David" w:eastAsia="Calibri" w:hAnsi="David" w:hint="cs"/>
          <w:b/>
          <w:bCs/>
          <w:noProof w:val="0"/>
          <w:rtl/>
        </w:rPr>
        <w:t>שאין</w:t>
      </w:r>
      <w:r w:rsidR="00120B81" w:rsidRPr="00402AB2">
        <w:rPr>
          <w:rFonts w:ascii="David" w:eastAsia="Calibri" w:hAnsi="David" w:hint="cs"/>
          <w:noProof w:val="0"/>
          <w:rtl/>
        </w:rPr>
        <w:t xml:space="preserve"> לה עיגון כלשהו בלשון הצוואה (ראו הציטוט סעיף 81 לעיל).</w:t>
      </w:r>
      <w:r w:rsidR="007E2136" w:rsidRPr="00402AB2">
        <w:rPr>
          <w:rFonts w:ascii="David" w:eastAsia="Calibri" w:hAnsi="David" w:hint="cs"/>
          <w:noProof w:val="0"/>
          <w:rtl/>
        </w:rPr>
        <w:t xml:space="preserve"> </w:t>
      </w:r>
    </w:p>
    <w:p w:rsidR="00B43C4D" w:rsidRPr="00AA32EC" w:rsidRDefault="00B43C4D" w:rsidP="00B43C4D">
      <w:pPr>
        <w:pStyle w:val="ae"/>
        <w:rPr>
          <w:rFonts w:ascii="David" w:eastAsia="Calibri" w:hAnsi="David"/>
          <w:noProof w:val="0"/>
          <w:highlight w:val="yellow"/>
          <w:rtl/>
        </w:rPr>
      </w:pPr>
    </w:p>
    <w:p w:rsidR="000A0522" w:rsidRPr="00402AB2" w:rsidRDefault="00B43C4D" w:rsidP="00402AB2">
      <w:pPr>
        <w:numPr>
          <w:ilvl w:val="0"/>
          <w:numId w:val="4"/>
        </w:numPr>
        <w:spacing w:after="160" w:line="360" w:lineRule="auto"/>
        <w:ind w:left="425" w:hanging="425"/>
        <w:contextualSpacing/>
        <w:jc w:val="both"/>
        <w:rPr>
          <w:rFonts w:ascii="David" w:eastAsia="Calibri" w:hAnsi="David"/>
          <w:noProof w:val="0"/>
        </w:rPr>
      </w:pPr>
      <w:r w:rsidRPr="00402AB2">
        <w:rPr>
          <w:rFonts w:ascii="David" w:eastAsia="Calibri" w:hAnsi="David" w:hint="cs"/>
          <w:noProof w:val="0"/>
          <w:rtl/>
        </w:rPr>
        <w:t>כאמור לעיל, לא נמצא עיגון בלשון הצוואה דנן</w:t>
      </w:r>
      <w:r w:rsidR="00402AB2" w:rsidRPr="00402AB2">
        <w:rPr>
          <w:rFonts w:ascii="David" w:eastAsia="Calibri" w:hAnsi="David" w:hint="cs"/>
          <w:noProof w:val="0"/>
          <w:rtl/>
        </w:rPr>
        <w:t xml:space="preserve"> לרצונם של המצווים לכבול האחד את רעהו מלערוך שינוי מהצוואה ההדדית</w:t>
      </w:r>
      <w:r w:rsidRPr="00402AB2">
        <w:rPr>
          <w:rFonts w:ascii="David" w:eastAsia="Calibri" w:hAnsi="David" w:hint="cs"/>
          <w:noProof w:val="0"/>
          <w:rtl/>
        </w:rPr>
        <w:t xml:space="preserve">, אלא ההיפך מכך- בענייננו קבעו המנוחים מפורשות כי הם </w:t>
      </w:r>
      <w:r w:rsidRPr="00402AB2">
        <w:rPr>
          <w:rFonts w:ascii="David" w:eastAsia="Calibri" w:hAnsi="David"/>
          <w:noProof w:val="0"/>
          <w:rtl/>
        </w:rPr>
        <w:t xml:space="preserve">שומרים </w:t>
      </w:r>
      <w:r w:rsidRPr="00402AB2">
        <w:rPr>
          <w:rFonts w:ascii="David" w:eastAsia="Calibri" w:hAnsi="David" w:hint="cs"/>
          <w:noProof w:val="0"/>
          <w:rtl/>
        </w:rPr>
        <w:t>לעצמם</w:t>
      </w:r>
      <w:r w:rsidRPr="00402AB2">
        <w:rPr>
          <w:rFonts w:ascii="David" w:eastAsia="Calibri" w:hAnsi="David"/>
          <w:noProof w:val="0"/>
          <w:rtl/>
        </w:rPr>
        <w:t xml:space="preserve"> את הזכות לשנות או לבטל את </w:t>
      </w:r>
      <w:r w:rsidRPr="00402AB2">
        <w:rPr>
          <w:rFonts w:ascii="David" w:eastAsia="Calibri" w:hAnsi="David" w:hint="cs"/>
          <w:noProof w:val="0"/>
          <w:rtl/>
        </w:rPr>
        <w:t>צוואתם, כולה או מקצתה - "</w:t>
      </w:r>
      <w:r w:rsidRPr="00402AB2">
        <w:rPr>
          <w:rFonts w:ascii="David" w:eastAsia="Calibri" w:hAnsi="David"/>
          <w:b/>
          <w:bCs/>
          <w:noProof w:val="0"/>
          <w:rtl/>
        </w:rPr>
        <w:t>בכל עת שנרצה</w:t>
      </w:r>
      <w:r w:rsidRPr="00402AB2">
        <w:rPr>
          <w:rFonts w:ascii="David" w:eastAsia="Calibri" w:hAnsi="David" w:hint="cs"/>
          <w:noProof w:val="0"/>
          <w:rtl/>
        </w:rPr>
        <w:t>".</w:t>
      </w:r>
    </w:p>
    <w:p w:rsidR="00120B81" w:rsidRDefault="00120B81" w:rsidP="00120B81">
      <w:pPr>
        <w:pStyle w:val="ae"/>
        <w:rPr>
          <w:rFonts w:ascii="David" w:eastAsia="Calibri" w:hAnsi="David"/>
          <w:noProof w:val="0"/>
          <w:rtl/>
        </w:rPr>
      </w:pPr>
    </w:p>
    <w:p w:rsidR="000A0522" w:rsidRDefault="006937C6" w:rsidP="000A0522">
      <w:pPr>
        <w:numPr>
          <w:ilvl w:val="0"/>
          <w:numId w:val="4"/>
        </w:numPr>
        <w:spacing w:after="160" w:line="360" w:lineRule="auto"/>
        <w:ind w:left="425" w:hanging="425"/>
        <w:contextualSpacing/>
        <w:jc w:val="both"/>
        <w:rPr>
          <w:rFonts w:ascii="David" w:eastAsia="Calibri" w:hAnsi="David"/>
          <w:noProof w:val="0"/>
        </w:rPr>
      </w:pPr>
      <w:r w:rsidRPr="000A0522">
        <w:rPr>
          <w:rFonts w:ascii="David" w:eastAsia="Calibri" w:hAnsi="David" w:hint="cs"/>
          <w:noProof w:val="0"/>
          <w:rtl/>
        </w:rPr>
        <w:t xml:space="preserve">הדברים אמורים ביתר שאת עת עסקינן בצוואה הדדית שנערכה </w:t>
      </w:r>
      <w:r w:rsidRPr="000A0522">
        <w:rPr>
          <w:rFonts w:ascii="David" w:eastAsia="Calibri" w:hAnsi="David" w:hint="cs"/>
          <w:b/>
          <w:bCs/>
          <w:noProof w:val="0"/>
          <w:rtl/>
        </w:rPr>
        <w:t>לפני</w:t>
      </w:r>
      <w:r w:rsidRPr="000A0522">
        <w:rPr>
          <w:rFonts w:ascii="David" w:eastAsia="Calibri" w:hAnsi="David" w:hint="cs"/>
          <w:noProof w:val="0"/>
          <w:rtl/>
        </w:rPr>
        <w:t xml:space="preserve"> התיקון לחוק </w:t>
      </w:r>
      <w:r w:rsidR="00762245" w:rsidRPr="000A0522">
        <w:rPr>
          <w:rFonts w:ascii="David" w:eastAsia="Calibri" w:hAnsi="David"/>
          <w:noProof w:val="0"/>
          <w:rtl/>
        </w:rPr>
        <w:t>עת ברירת המחדל לגביה כאמור, כי ניתן בידי כל אחד מבני הזוג לשנותה בכל עת, גם לאחר פטירת בן זוגו</w:t>
      </w:r>
      <w:r w:rsidR="00762245" w:rsidRPr="000A0522">
        <w:rPr>
          <w:rFonts w:ascii="David" w:eastAsia="Calibri" w:hAnsi="David" w:hint="cs"/>
          <w:noProof w:val="0"/>
          <w:rtl/>
        </w:rPr>
        <w:t>,</w:t>
      </w:r>
      <w:r w:rsidRPr="000A0522">
        <w:rPr>
          <w:rFonts w:ascii="David" w:eastAsia="Calibri" w:hAnsi="David" w:hint="cs"/>
          <w:noProof w:val="0"/>
          <w:rtl/>
        </w:rPr>
        <w:t xml:space="preserve"> באין הוראה משתמעת או מפורשת אחרת</w:t>
      </w:r>
      <w:r w:rsidR="00EF2A84">
        <w:rPr>
          <w:rFonts w:ascii="David" w:eastAsia="Calibri" w:hAnsi="David" w:hint="cs"/>
          <w:noProof w:val="0"/>
          <w:rtl/>
        </w:rPr>
        <w:t xml:space="preserve">, </w:t>
      </w:r>
      <w:r w:rsidR="00EF2A84" w:rsidRPr="00B17D8F">
        <w:rPr>
          <w:rFonts w:ascii="David" w:eastAsia="Calibri" w:hAnsi="David" w:hint="cs"/>
          <w:noProof w:val="0"/>
          <w:rtl/>
        </w:rPr>
        <w:t>כהלכת זמיר</w:t>
      </w:r>
      <w:r w:rsidR="00EF2A84">
        <w:rPr>
          <w:rFonts w:ascii="David" w:eastAsia="Calibri" w:hAnsi="David" w:hint="cs"/>
          <w:noProof w:val="0"/>
          <w:rtl/>
        </w:rPr>
        <w:t xml:space="preserve"> הנ"ל</w:t>
      </w:r>
      <w:r w:rsidRPr="000A0522">
        <w:rPr>
          <w:rFonts w:ascii="David" w:eastAsia="Calibri" w:hAnsi="David" w:hint="cs"/>
          <w:noProof w:val="0"/>
          <w:rtl/>
        </w:rPr>
        <w:t xml:space="preserve">. </w:t>
      </w:r>
    </w:p>
    <w:p w:rsidR="000A0522" w:rsidRDefault="000A0522" w:rsidP="000A0522">
      <w:pPr>
        <w:pStyle w:val="ae"/>
        <w:rPr>
          <w:rFonts w:ascii="David" w:eastAsia="Calibri" w:hAnsi="David"/>
          <w:noProof w:val="0"/>
          <w:rtl/>
        </w:rPr>
      </w:pPr>
    </w:p>
    <w:p w:rsidR="000A0522" w:rsidRDefault="006937C6" w:rsidP="000A0522">
      <w:pPr>
        <w:numPr>
          <w:ilvl w:val="0"/>
          <w:numId w:val="4"/>
        </w:numPr>
        <w:spacing w:after="160" w:line="360" w:lineRule="auto"/>
        <w:ind w:left="425" w:hanging="425"/>
        <w:contextualSpacing/>
        <w:jc w:val="both"/>
        <w:rPr>
          <w:rFonts w:ascii="David" w:eastAsia="Calibri" w:hAnsi="David"/>
          <w:noProof w:val="0"/>
        </w:rPr>
      </w:pPr>
      <w:r w:rsidRPr="000A0522">
        <w:rPr>
          <w:rFonts w:ascii="David" w:eastAsia="Calibri" w:hAnsi="David"/>
          <w:noProof w:val="0"/>
          <w:rtl/>
        </w:rPr>
        <w:t xml:space="preserve">ודוק, לנוכח הוראת סעיף 42(ב) </w:t>
      </w:r>
      <w:r w:rsidR="00C70226">
        <w:rPr>
          <w:rFonts w:ascii="David" w:eastAsia="Calibri" w:hAnsi="David"/>
          <w:noProof w:val="0"/>
          <w:rtl/>
        </w:rPr>
        <w:t>סיפה</w:t>
      </w:r>
      <w:r w:rsidRPr="000A0522">
        <w:rPr>
          <w:rFonts w:ascii="David" w:eastAsia="Calibri" w:hAnsi="David"/>
          <w:noProof w:val="0"/>
          <w:rtl/>
        </w:rPr>
        <w:t xml:space="preserve"> הגורעת </w:t>
      </w:r>
      <w:r w:rsidRPr="000A0522">
        <w:rPr>
          <w:rFonts w:ascii="David" w:eastAsia="Calibri" w:hAnsi="David" w:hint="cs"/>
          <w:noProof w:val="0"/>
          <w:rtl/>
        </w:rPr>
        <w:t xml:space="preserve">אף היא </w:t>
      </w:r>
      <w:r w:rsidRPr="000A0522">
        <w:rPr>
          <w:rFonts w:ascii="David" w:eastAsia="Calibri" w:hAnsi="David"/>
          <w:noProof w:val="0"/>
          <w:rtl/>
        </w:rPr>
        <w:t xml:space="preserve">מעקרון חופש הציווי בדיני הירושה, מצופה היה כי תהיה </w:t>
      </w:r>
      <w:r w:rsidRPr="00C70226">
        <w:rPr>
          <w:rFonts w:ascii="David" w:eastAsia="Calibri" w:hAnsi="David"/>
          <w:b/>
          <w:bCs/>
          <w:noProof w:val="0"/>
          <w:rtl/>
        </w:rPr>
        <w:t>הוראה חד משמעית</w:t>
      </w:r>
      <w:r w:rsidRPr="000A0522">
        <w:rPr>
          <w:rFonts w:ascii="David" w:eastAsia="Calibri" w:hAnsi="David"/>
          <w:noProof w:val="0"/>
          <w:rtl/>
        </w:rPr>
        <w:t xml:space="preserve"> המתייחסת אף למצב של "יורש אחר יורש" ולהגבלה על האפשרות לגרוע מחלקו של היורש האחר</w:t>
      </w:r>
      <w:r w:rsidR="007E2136">
        <w:rPr>
          <w:rFonts w:ascii="David" w:eastAsia="Calibri" w:hAnsi="David" w:hint="cs"/>
          <w:noProof w:val="0"/>
          <w:rtl/>
        </w:rPr>
        <w:t>, ככל שזו אכן היתה כוונת המצווים</w:t>
      </w:r>
      <w:r w:rsidR="00762245" w:rsidRPr="000A0522">
        <w:rPr>
          <w:rFonts w:ascii="David" w:eastAsia="Calibri" w:hAnsi="David" w:hint="cs"/>
          <w:noProof w:val="0"/>
          <w:rtl/>
        </w:rPr>
        <w:t xml:space="preserve"> </w:t>
      </w:r>
      <w:r w:rsidR="00762245" w:rsidRPr="000A0522">
        <w:rPr>
          <w:rFonts w:ascii="David" w:eastAsia="Calibri" w:hAnsi="David"/>
          <w:noProof w:val="0"/>
          <w:rtl/>
        </w:rPr>
        <w:t>–</w:t>
      </w:r>
      <w:r w:rsidR="00762245" w:rsidRPr="000A0522">
        <w:rPr>
          <w:rFonts w:ascii="David" w:eastAsia="Calibri" w:hAnsi="David" w:hint="cs"/>
          <w:noProof w:val="0"/>
          <w:rtl/>
        </w:rPr>
        <w:t xml:space="preserve"> הוראה שבעניינו </w:t>
      </w:r>
      <w:r w:rsidR="00762245" w:rsidRPr="00C70226">
        <w:rPr>
          <w:rFonts w:ascii="David" w:eastAsia="Calibri" w:hAnsi="David" w:hint="cs"/>
          <w:b/>
          <w:bCs/>
          <w:noProof w:val="0"/>
          <w:rtl/>
        </w:rPr>
        <w:t>חסרה מן הספר</w:t>
      </w:r>
      <w:r w:rsidR="00762245" w:rsidRPr="000A0522">
        <w:rPr>
          <w:rFonts w:ascii="David" w:eastAsia="Calibri" w:hAnsi="David" w:hint="cs"/>
          <w:noProof w:val="0"/>
          <w:rtl/>
        </w:rPr>
        <w:t>.</w:t>
      </w:r>
    </w:p>
    <w:p w:rsidR="000A0522" w:rsidRDefault="000A0522" w:rsidP="000A0522">
      <w:pPr>
        <w:pStyle w:val="ae"/>
        <w:rPr>
          <w:rFonts w:ascii="David" w:eastAsia="Calibri" w:hAnsi="David"/>
          <w:noProof w:val="0"/>
          <w:highlight w:val="yellow"/>
          <w:rtl/>
        </w:rPr>
      </w:pPr>
    </w:p>
    <w:p w:rsidR="000A0522" w:rsidRDefault="0088745D" w:rsidP="00402AB2">
      <w:pPr>
        <w:numPr>
          <w:ilvl w:val="0"/>
          <w:numId w:val="4"/>
        </w:numPr>
        <w:spacing w:after="160" w:line="360" w:lineRule="auto"/>
        <w:ind w:left="425" w:hanging="425"/>
        <w:contextualSpacing/>
        <w:jc w:val="both"/>
        <w:rPr>
          <w:rFonts w:ascii="David" w:eastAsia="Calibri" w:hAnsi="David"/>
          <w:noProof w:val="0"/>
        </w:rPr>
      </w:pPr>
      <w:r w:rsidRPr="000A0522">
        <w:rPr>
          <w:rFonts w:ascii="David" w:eastAsia="Calibri" w:hAnsi="David" w:hint="cs"/>
          <w:noProof w:val="0"/>
          <w:rtl/>
        </w:rPr>
        <w:t xml:space="preserve">בנסיבות דנן, </w:t>
      </w:r>
      <w:r w:rsidR="000A0522" w:rsidRPr="000A0522">
        <w:rPr>
          <w:rFonts w:ascii="David" w:eastAsia="Calibri" w:hAnsi="David" w:hint="cs"/>
          <w:noProof w:val="0"/>
          <w:rtl/>
        </w:rPr>
        <w:t xml:space="preserve">אף </w:t>
      </w:r>
      <w:r w:rsidRPr="000A0522">
        <w:rPr>
          <w:rFonts w:ascii="David" w:eastAsia="Calibri" w:hAnsi="David" w:hint="cs"/>
          <w:noProof w:val="0"/>
          <w:rtl/>
        </w:rPr>
        <w:t>לא מצאתי ביתר הוראות הצוואה שלפני ללמד על עקרון ההסתמכות האמור</w:t>
      </w:r>
      <w:r w:rsidR="00402AB2">
        <w:rPr>
          <w:rFonts w:ascii="David" w:eastAsia="Calibri" w:hAnsi="David" w:hint="cs"/>
          <w:noProof w:val="0"/>
          <w:rtl/>
        </w:rPr>
        <w:t xml:space="preserve"> באופן שיש בו כדי לכבול את בני הזוג משינוי הצוואה באופן חד צדדי</w:t>
      </w:r>
      <w:r w:rsidR="00C70226">
        <w:rPr>
          <w:rFonts w:ascii="David" w:eastAsia="Calibri" w:hAnsi="David" w:hint="cs"/>
          <w:noProof w:val="0"/>
          <w:rtl/>
        </w:rPr>
        <w:t xml:space="preserve">, </w:t>
      </w:r>
      <w:r w:rsidR="00AA32EC" w:rsidRPr="00402AB2">
        <w:rPr>
          <w:rFonts w:ascii="David" w:eastAsia="Calibri" w:hAnsi="David" w:hint="cs"/>
          <w:noProof w:val="0"/>
          <w:rtl/>
        </w:rPr>
        <w:t xml:space="preserve">ועל "תכנית </w:t>
      </w:r>
      <w:r w:rsidRPr="00402AB2">
        <w:rPr>
          <w:rFonts w:ascii="David" w:eastAsia="Calibri" w:hAnsi="David" w:hint="cs"/>
          <w:noProof w:val="0"/>
          <w:rtl/>
        </w:rPr>
        <w:t>משותפת</w:t>
      </w:r>
      <w:r w:rsidR="00AA32EC" w:rsidRPr="00402AB2">
        <w:rPr>
          <w:rFonts w:ascii="David" w:eastAsia="Calibri" w:hAnsi="David" w:hint="cs"/>
          <w:noProof w:val="0"/>
          <w:rtl/>
        </w:rPr>
        <w:t xml:space="preserve">" </w:t>
      </w:r>
      <w:r w:rsidRPr="000A0522">
        <w:rPr>
          <w:rFonts w:ascii="David" w:eastAsia="Calibri" w:hAnsi="David" w:hint="cs"/>
          <w:noProof w:val="0"/>
          <w:rtl/>
        </w:rPr>
        <w:t>של המנוחים לק</w:t>
      </w:r>
      <w:r w:rsidR="006937C6" w:rsidRPr="000A0522">
        <w:rPr>
          <w:rFonts w:ascii="David" w:eastAsia="Calibri" w:hAnsi="David" w:hint="cs"/>
          <w:noProof w:val="0"/>
          <w:rtl/>
        </w:rPr>
        <w:t xml:space="preserve">בוע בצוואתם הוראת </w:t>
      </w:r>
      <w:r w:rsidR="00AA32EC">
        <w:rPr>
          <w:rFonts w:ascii="David" w:eastAsia="Calibri" w:hAnsi="David" w:hint="cs"/>
          <w:noProof w:val="0"/>
          <w:rtl/>
        </w:rPr>
        <w:t>"</w:t>
      </w:r>
      <w:r w:rsidR="006937C6" w:rsidRPr="000A0522">
        <w:rPr>
          <w:rFonts w:ascii="David" w:eastAsia="Calibri" w:hAnsi="David" w:hint="cs"/>
          <w:noProof w:val="0"/>
          <w:rtl/>
        </w:rPr>
        <w:t>יורש אחר יורש</w:t>
      </w:r>
      <w:r w:rsidR="00AA32EC">
        <w:rPr>
          <w:rFonts w:ascii="David" w:eastAsia="Calibri" w:hAnsi="David" w:hint="cs"/>
          <w:noProof w:val="0"/>
          <w:rtl/>
        </w:rPr>
        <w:t>"</w:t>
      </w:r>
      <w:r w:rsidR="006937C6" w:rsidRPr="000A0522">
        <w:rPr>
          <w:rFonts w:ascii="David" w:eastAsia="Calibri" w:hAnsi="David" w:hint="cs"/>
          <w:noProof w:val="0"/>
          <w:rtl/>
        </w:rPr>
        <w:t>, כפי ש</w:t>
      </w:r>
      <w:r w:rsidR="00C70226">
        <w:rPr>
          <w:rFonts w:ascii="David" w:eastAsia="Calibri" w:hAnsi="David" w:hint="cs"/>
          <w:noProof w:val="0"/>
          <w:rtl/>
        </w:rPr>
        <w:t xml:space="preserve">ביקשו ללמוד </w:t>
      </w:r>
      <w:r w:rsidR="006937C6" w:rsidRPr="000A0522">
        <w:rPr>
          <w:rFonts w:ascii="David" w:eastAsia="Calibri" w:hAnsi="David" w:hint="cs"/>
          <w:noProof w:val="0"/>
          <w:rtl/>
        </w:rPr>
        <w:t>המבקשת וב"כ היועמ"ש.</w:t>
      </w:r>
    </w:p>
    <w:p w:rsidR="000A0522" w:rsidRPr="00C70226" w:rsidRDefault="000A0522" w:rsidP="000A0522">
      <w:pPr>
        <w:pStyle w:val="ae"/>
        <w:rPr>
          <w:rFonts w:ascii="David" w:eastAsia="Calibri" w:hAnsi="David"/>
          <w:noProof w:val="0"/>
          <w:rtl/>
        </w:rPr>
      </w:pPr>
    </w:p>
    <w:p w:rsidR="000A0522" w:rsidRDefault="006937C6" w:rsidP="00E40D35">
      <w:pPr>
        <w:numPr>
          <w:ilvl w:val="0"/>
          <w:numId w:val="4"/>
        </w:numPr>
        <w:spacing w:after="160" w:line="360" w:lineRule="auto"/>
        <w:ind w:left="425" w:hanging="425"/>
        <w:contextualSpacing/>
        <w:jc w:val="both"/>
        <w:rPr>
          <w:rFonts w:ascii="David" w:eastAsia="Calibri" w:hAnsi="David"/>
          <w:noProof w:val="0"/>
        </w:rPr>
      </w:pPr>
      <w:r w:rsidRPr="000A0522">
        <w:rPr>
          <w:rFonts w:ascii="David" w:eastAsia="Calibri" w:hAnsi="David" w:hint="cs"/>
          <w:noProof w:val="0"/>
          <w:rtl/>
        </w:rPr>
        <w:t xml:space="preserve">כך למשל, </w:t>
      </w:r>
      <w:r w:rsidR="00E34603" w:rsidRPr="000A0522">
        <w:rPr>
          <w:rFonts w:ascii="David" w:eastAsia="Calibri" w:hAnsi="David"/>
          <w:noProof w:val="0"/>
          <w:rtl/>
        </w:rPr>
        <w:t xml:space="preserve">בכל הנוגע להוראה שבסעיף 6 לצוואה </w:t>
      </w:r>
      <w:r w:rsidR="00E40D35">
        <w:rPr>
          <w:rFonts w:ascii="David" w:eastAsia="Calibri" w:hAnsi="David" w:hint="cs"/>
          <w:noProof w:val="0"/>
          <w:rtl/>
        </w:rPr>
        <w:t>המתייחסת</w:t>
      </w:r>
      <w:r w:rsidR="00E34603" w:rsidRPr="000A0522">
        <w:rPr>
          <w:rFonts w:ascii="David" w:eastAsia="Calibri" w:hAnsi="David"/>
          <w:noProof w:val="0"/>
          <w:rtl/>
        </w:rPr>
        <w:t xml:space="preserve"> לעיכוב מכירת דירת המגורים כעבור שנה מפטירת בן הזוג הנותר – דומה כי מדובר בהוראה כללית ומקובלת שלא לעשות</w:t>
      </w:r>
      <w:r w:rsidR="007E2136">
        <w:rPr>
          <w:rFonts w:ascii="David" w:eastAsia="Calibri" w:hAnsi="David"/>
          <w:noProof w:val="0"/>
          <w:rtl/>
        </w:rPr>
        <w:t xml:space="preserve"> דבר בעיזבון משך שנה לאחר הפטיר</w:t>
      </w:r>
      <w:r w:rsidR="007E2136">
        <w:rPr>
          <w:rFonts w:ascii="David" w:eastAsia="Calibri" w:hAnsi="David" w:hint="cs"/>
          <w:noProof w:val="0"/>
          <w:rtl/>
        </w:rPr>
        <w:t>ה</w:t>
      </w:r>
      <w:r w:rsidR="00CC2503" w:rsidRPr="000A0522">
        <w:rPr>
          <w:rFonts w:ascii="David" w:eastAsia="Calibri" w:hAnsi="David" w:hint="cs"/>
          <w:noProof w:val="0"/>
          <w:rtl/>
        </w:rPr>
        <w:t xml:space="preserve">, </w:t>
      </w:r>
      <w:r w:rsidR="00D0634A" w:rsidRPr="000A0522">
        <w:rPr>
          <w:rFonts w:ascii="David" w:eastAsia="Calibri" w:hAnsi="David" w:hint="cs"/>
          <w:noProof w:val="0"/>
          <w:rtl/>
        </w:rPr>
        <w:t xml:space="preserve">ולא מצאתי </w:t>
      </w:r>
      <w:r w:rsidR="00E34603" w:rsidRPr="000A0522">
        <w:rPr>
          <w:rFonts w:ascii="David" w:eastAsia="Calibri" w:hAnsi="David"/>
          <w:noProof w:val="0"/>
          <w:rtl/>
        </w:rPr>
        <w:t xml:space="preserve">בהוראה זו </w:t>
      </w:r>
      <w:r w:rsidR="00D0634A" w:rsidRPr="000A0522">
        <w:rPr>
          <w:rFonts w:ascii="David" w:eastAsia="Calibri" w:hAnsi="David" w:hint="cs"/>
          <w:noProof w:val="0"/>
          <w:rtl/>
        </w:rPr>
        <w:t xml:space="preserve">כדי </w:t>
      </w:r>
      <w:r w:rsidR="00E34603" w:rsidRPr="000A0522">
        <w:rPr>
          <w:rFonts w:ascii="David" w:eastAsia="Calibri" w:hAnsi="David"/>
          <w:noProof w:val="0"/>
          <w:rtl/>
        </w:rPr>
        <w:t>לחזק את גרסת המבקשת וב"כ היועמ"ש בפרשנותן להוראת סעיף 5.</w:t>
      </w:r>
    </w:p>
    <w:p w:rsidR="000A0522" w:rsidRDefault="000A0522" w:rsidP="000A0522">
      <w:pPr>
        <w:pStyle w:val="ae"/>
        <w:rPr>
          <w:rFonts w:ascii="David" w:eastAsia="Calibri" w:hAnsi="David"/>
          <w:noProof w:val="0"/>
          <w:rtl/>
        </w:rPr>
      </w:pPr>
    </w:p>
    <w:p w:rsidR="000A7E90" w:rsidRDefault="006937C6" w:rsidP="00C70226">
      <w:pPr>
        <w:numPr>
          <w:ilvl w:val="0"/>
          <w:numId w:val="4"/>
        </w:numPr>
        <w:spacing w:after="160" w:line="360" w:lineRule="auto"/>
        <w:ind w:left="425" w:hanging="425"/>
        <w:contextualSpacing/>
        <w:jc w:val="both"/>
        <w:rPr>
          <w:rFonts w:ascii="David" w:eastAsia="Calibri" w:hAnsi="David"/>
          <w:noProof w:val="0"/>
        </w:rPr>
      </w:pPr>
      <w:r w:rsidRPr="000A0522">
        <w:rPr>
          <w:rFonts w:ascii="David" w:eastAsia="Calibri" w:hAnsi="David" w:hint="cs"/>
          <w:noProof w:val="0"/>
          <w:rtl/>
        </w:rPr>
        <w:t xml:space="preserve">לא מצאתי ממש </w:t>
      </w:r>
      <w:r w:rsidR="000A0522">
        <w:rPr>
          <w:rFonts w:ascii="David" w:eastAsia="Calibri" w:hAnsi="David" w:hint="cs"/>
          <w:noProof w:val="0"/>
          <w:rtl/>
        </w:rPr>
        <w:t xml:space="preserve">אף </w:t>
      </w:r>
      <w:r w:rsidRPr="000A0522">
        <w:rPr>
          <w:rFonts w:ascii="David" w:eastAsia="Calibri" w:hAnsi="David" w:hint="cs"/>
          <w:noProof w:val="0"/>
          <w:rtl/>
        </w:rPr>
        <w:t>בטענותיהן</w:t>
      </w:r>
      <w:r w:rsidR="00D0634A" w:rsidRPr="000A0522">
        <w:rPr>
          <w:rFonts w:ascii="David" w:eastAsia="Calibri" w:hAnsi="David" w:hint="cs"/>
          <w:noProof w:val="0"/>
          <w:rtl/>
        </w:rPr>
        <w:t xml:space="preserve"> </w:t>
      </w:r>
      <w:r w:rsidR="0088745D" w:rsidRPr="000A0522">
        <w:rPr>
          <w:rFonts w:ascii="David" w:eastAsia="Calibri" w:hAnsi="David" w:hint="cs"/>
          <w:noProof w:val="0"/>
          <w:rtl/>
        </w:rPr>
        <w:t xml:space="preserve">המבוססת על </w:t>
      </w:r>
      <w:r w:rsidR="000A7E90">
        <w:rPr>
          <w:rFonts w:ascii="David" w:eastAsia="Calibri" w:hAnsi="David" w:hint="cs"/>
          <w:noProof w:val="0"/>
          <w:rtl/>
        </w:rPr>
        <w:t>"</w:t>
      </w:r>
      <w:r w:rsidR="00E34603" w:rsidRPr="000A0522">
        <w:rPr>
          <w:rFonts w:ascii="David" w:eastAsia="Calibri" w:hAnsi="David"/>
          <w:noProof w:val="0"/>
          <w:rtl/>
        </w:rPr>
        <w:t xml:space="preserve">לשון </w:t>
      </w:r>
      <w:r w:rsidR="0088745D" w:rsidRPr="000A0522">
        <w:rPr>
          <w:rFonts w:ascii="David" w:eastAsia="Calibri" w:hAnsi="David" w:hint="cs"/>
          <w:noProof w:val="0"/>
          <w:rtl/>
        </w:rPr>
        <w:t>ה</w:t>
      </w:r>
      <w:r w:rsidRPr="000A0522">
        <w:rPr>
          <w:rFonts w:ascii="David" w:eastAsia="Calibri" w:hAnsi="David"/>
          <w:noProof w:val="0"/>
          <w:rtl/>
        </w:rPr>
        <w:t>רבים</w:t>
      </w:r>
      <w:r w:rsidR="000A7E90">
        <w:rPr>
          <w:rFonts w:ascii="David" w:eastAsia="Calibri" w:hAnsi="David" w:hint="cs"/>
          <w:noProof w:val="0"/>
          <w:rtl/>
        </w:rPr>
        <w:t>"</w:t>
      </w:r>
      <w:r w:rsidRPr="000A0522">
        <w:rPr>
          <w:rFonts w:ascii="David" w:eastAsia="Calibri" w:hAnsi="David"/>
          <w:noProof w:val="0"/>
          <w:rtl/>
        </w:rPr>
        <w:t xml:space="preserve"> בצוואה</w:t>
      </w:r>
      <w:r w:rsidR="000A7E90">
        <w:rPr>
          <w:rFonts w:ascii="David" w:eastAsia="Calibri" w:hAnsi="David" w:hint="cs"/>
          <w:noProof w:val="0"/>
          <w:rtl/>
        </w:rPr>
        <w:t xml:space="preserve"> ככזו המלמדת על הוראת "יורש אחר יורש"</w:t>
      </w:r>
      <w:r w:rsidRPr="000A0522">
        <w:rPr>
          <w:rFonts w:ascii="David" w:eastAsia="Calibri" w:hAnsi="David" w:hint="cs"/>
          <w:noProof w:val="0"/>
          <w:rtl/>
        </w:rPr>
        <w:t>.</w:t>
      </w:r>
      <w:r w:rsidR="00E34603" w:rsidRPr="000A0522">
        <w:rPr>
          <w:rFonts w:ascii="David" w:eastAsia="Calibri" w:hAnsi="David"/>
          <w:noProof w:val="0"/>
          <w:rtl/>
        </w:rPr>
        <w:t xml:space="preserve"> </w:t>
      </w:r>
      <w:r w:rsidRPr="000A0522">
        <w:rPr>
          <w:rFonts w:ascii="David" w:eastAsia="Calibri" w:hAnsi="David" w:hint="cs"/>
          <w:noProof w:val="0"/>
          <w:rtl/>
        </w:rPr>
        <w:t xml:space="preserve">אמנם, </w:t>
      </w:r>
      <w:r w:rsidR="00E34603" w:rsidRPr="000A0522">
        <w:rPr>
          <w:rFonts w:ascii="David" w:eastAsia="Calibri" w:hAnsi="David"/>
          <w:noProof w:val="0"/>
          <w:rtl/>
        </w:rPr>
        <w:t>בראשיתו של סעיף 6 לצוואה נאמר על ידי המצווים כי "</w:t>
      </w:r>
      <w:r w:rsidR="00E34603" w:rsidRPr="000A0522">
        <w:rPr>
          <w:rFonts w:ascii="David" w:eastAsia="Calibri" w:hAnsi="David"/>
          <w:b/>
          <w:bCs/>
          <w:noProof w:val="0"/>
          <w:rtl/>
        </w:rPr>
        <w:t xml:space="preserve">הננו מצווים כי עיזבוננו יוקנה ויועבר לפי הדין הנוהג במדינת ישראל על שם </w:t>
      </w:r>
      <w:r w:rsidR="00E34603" w:rsidRPr="000A0522">
        <w:rPr>
          <w:rFonts w:ascii="David" w:eastAsia="Calibri" w:hAnsi="David"/>
          <w:b/>
          <w:bCs/>
          <w:noProof w:val="0"/>
          <w:u w:val="single"/>
          <w:rtl/>
        </w:rPr>
        <w:t>הנהנים</w:t>
      </w:r>
      <w:r w:rsidR="00E34603" w:rsidRPr="000A0522">
        <w:rPr>
          <w:rFonts w:ascii="David" w:eastAsia="Calibri" w:hAnsi="David"/>
          <w:b/>
          <w:bCs/>
          <w:noProof w:val="0"/>
          <w:rtl/>
        </w:rPr>
        <w:t xml:space="preserve"> עפ"י צוואתנו..."; </w:t>
      </w:r>
      <w:r w:rsidR="00E34603" w:rsidRPr="000A0522">
        <w:rPr>
          <w:rFonts w:ascii="David" w:eastAsia="Calibri" w:hAnsi="David"/>
          <w:noProof w:val="0"/>
          <w:rtl/>
        </w:rPr>
        <w:t xml:space="preserve"> ואף בהוראת סעיף 3 לצוואתם נקטו לעניין אותם נהנים בלשון רבים – "</w:t>
      </w:r>
      <w:r w:rsidR="00E34603" w:rsidRPr="000A0522">
        <w:rPr>
          <w:rFonts w:ascii="David" w:eastAsia="Calibri" w:hAnsi="David"/>
          <w:b/>
          <w:bCs/>
          <w:noProof w:val="0"/>
          <w:rtl/>
        </w:rPr>
        <w:t xml:space="preserve">כל הספקות שעלולות להתעורר בקשר ועם צוואה זו ו/או פרושה יהיו נידונות עפ"י הפוסק או הדעה המקיימת את </w:t>
      </w:r>
      <w:r w:rsidR="00E34603" w:rsidRPr="000A0522">
        <w:rPr>
          <w:rFonts w:ascii="David" w:eastAsia="Calibri" w:hAnsi="David"/>
          <w:b/>
          <w:bCs/>
          <w:noProof w:val="0"/>
          <w:rtl/>
        </w:rPr>
        <w:lastRenderedPageBreak/>
        <w:t xml:space="preserve">הצוואה הזו ואת </w:t>
      </w:r>
      <w:r w:rsidR="00E34603" w:rsidRPr="000A0522">
        <w:rPr>
          <w:rFonts w:ascii="David" w:eastAsia="Calibri" w:hAnsi="David"/>
          <w:b/>
          <w:bCs/>
          <w:noProof w:val="0"/>
          <w:u w:val="single"/>
          <w:rtl/>
        </w:rPr>
        <w:t>קנייני הזוכים בה</w:t>
      </w:r>
      <w:r w:rsidR="00E34603" w:rsidRPr="000A0522">
        <w:rPr>
          <w:rFonts w:ascii="David" w:eastAsia="Calibri" w:hAnsi="David"/>
          <w:b/>
          <w:bCs/>
          <w:noProof w:val="0"/>
          <w:rtl/>
        </w:rPr>
        <w:t xml:space="preserve"> ומכוחה</w:t>
      </w:r>
      <w:r w:rsidR="00E34603" w:rsidRPr="000A0522">
        <w:rPr>
          <w:rFonts w:ascii="David" w:eastAsia="Calibri" w:hAnsi="David"/>
          <w:noProof w:val="0"/>
          <w:rtl/>
        </w:rPr>
        <w:t xml:space="preserve">". </w:t>
      </w:r>
      <w:r w:rsidRPr="000A0522">
        <w:rPr>
          <w:rFonts w:ascii="David" w:eastAsia="Calibri" w:hAnsi="David" w:hint="cs"/>
          <w:noProof w:val="0"/>
          <w:rtl/>
        </w:rPr>
        <w:t xml:space="preserve">אולם, </w:t>
      </w:r>
      <w:r w:rsidR="00CC2503" w:rsidRPr="000A0522">
        <w:rPr>
          <w:rFonts w:ascii="David" w:eastAsia="Calibri" w:hAnsi="David" w:hint="cs"/>
          <w:noProof w:val="0"/>
          <w:rtl/>
        </w:rPr>
        <w:t xml:space="preserve">כאמור </w:t>
      </w:r>
      <w:r w:rsidR="00E34603" w:rsidRPr="000A0522">
        <w:rPr>
          <w:rFonts w:ascii="David" w:eastAsia="Calibri" w:hAnsi="David"/>
          <w:noProof w:val="0"/>
          <w:rtl/>
        </w:rPr>
        <w:t xml:space="preserve">אינני סבורה כי יש </w:t>
      </w:r>
      <w:r w:rsidR="00D0634A" w:rsidRPr="000A0522">
        <w:rPr>
          <w:rFonts w:ascii="David" w:eastAsia="Calibri" w:hAnsi="David" w:hint="cs"/>
          <w:noProof w:val="0"/>
          <w:rtl/>
        </w:rPr>
        <w:t>בלשון הרבים</w:t>
      </w:r>
      <w:r w:rsidR="00E34603" w:rsidRPr="000A0522">
        <w:rPr>
          <w:rFonts w:ascii="David" w:eastAsia="Calibri" w:hAnsi="David"/>
          <w:noProof w:val="0"/>
          <w:rtl/>
        </w:rPr>
        <w:t xml:space="preserve"> </w:t>
      </w:r>
      <w:r w:rsidR="0088745D" w:rsidRPr="000A0522">
        <w:rPr>
          <w:rFonts w:ascii="David" w:eastAsia="Calibri" w:hAnsi="David" w:hint="cs"/>
          <w:noProof w:val="0"/>
          <w:rtl/>
        </w:rPr>
        <w:t>ל</w:t>
      </w:r>
      <w:r w:rsidR="00E34603" w:rsidRPr="000A0522">
        <w:rPr>
          <w:rFonts w:ascii="David" w:eastAsia="Calibri" w:hAnsi="David"/>
          <w:noProof w:val="0"/>
          <w:rtl/>
        </w:rPr>
        <w:t>כשעצמ</w:t>
      </w:r>
      <w:r w:rsidR="00D0634A" w:rsidRPr="000A0522">
        <w:rPr>
          <w:rFonts w:ascii="David" w:eastAsia="Calibri" w:hAnsi="David" w:hint="cs"/>
          <w:noProof w:val="0"/>
          <w:rtl/>
        </w:rPr>
        <w:t>ה</w:t>
      </w:r>
      <w:r w:rsidR="00E34603" w:rsidRPr="000A0522">
        <w:rPr>
          <w:rFonts w:ascii="David" w:eastAsia="Calibri" w:hAnsi="David"/>
          <w:noProof w:val="0"/>
          <w:rtl/>
        </w:rPr>
        <w:t xml:space="preserve"> לתמוך בפרשנות בה צידדו המבקשת וב"כ היועמ"ש להוראת סעיף 5, שהרי גם במצב של הוראת "</w:t>
      </w:r>
      <w:r w:rsidR="00E34603" w:rsidRPr="00AA32EC">
        <w:rPr>
          <w:rFonts w:ascii="David" w:eastAsia="Calibri" w:hAnsi="David"/>
          <w:noProof w:val="0"/>
          <w:rtl/>
        </w:rPr>
        <w:t>יורש</w:t>
      </w:r>
      <w:r w:rsidR="00E34603" w:rsidRPr="000A0522">
        <w:rPr>
          <w:rFonts w:ascii="David" w:eastAsia="Calibri" w:hAnsi="David"/>
          <w:b/>
          <w:bCs/>
          <w:noProof w:val="0"/>
          <w:rtl/>
        </w:rPr>
        <w:t xml:space="preserve"> </w:t>
      </w:r>
      <w:r w:rsidR="00E34603" w:rsidRPr="00AA32EC">
        <w:rPr>
          <w:rFonts w:ascii="David" w:eastAsia="Calibri" w:hAnsi="David"/>
          <w:noProof w:val="0"/>
          <w:rtl/>
        </w:rPr>
        <w:t>במקום</w:t>
      </w:r>
      <w:r w:rsidR="00E34603" w:rsidRPr="000A0522">
        <w:rPr>
          <w:rFonts w:ascii="David" w:eastAsia="Calibri" w:hAnsi="David"/>
          <w:b/>
          <w:bCs/>
          <w:noProof w:val="0"/>
          <w:rtl/>
        </w:rPr>
        <w:t xml:space="preserve"> </w:t>
      </w:r>
      <w:r w:rsidR="00E34603" w:rsidRPr="00AA32EC">
        <w:rPr>
          <w:rFonts w:ascii="David" w:eastAsia="Calibri" w:hAnsi="David"/>
          <w:noProof w:val="0"/>
          <w:rtl/>
        </w:rPr>
        <w:t>יורש</w:t>
      </w:r>
      <w:r w:rsidR="00E34603" w:rsidRPr="000A0522">
        <w:rPr>
          <w:rFonts w:ascii="David" w:eastAsia="Calibri" w:hAnsi="David"/>
          <w:noProof w:val="0"/>
          <w:rtl/>
        </w:rPr>
        <w:t xml:space="preserve">" </w:t>
      </w:r>
      <w:r w:rsidRPr="000A0522">
        <w:rPr>
          <w:rFonts w:ascii="David" w:eastAsia="Calibri" w:hAnsi="David" w:hint="cs"/>
          <w:noProof w:val="0"/>
          <w:rtl/>
        </w:rPr>
        <w:t>יש</w:t>
      </w:r>
      <w:r w:rsidR="00E34603" w:rsidRPr="000A0522">
        <w:rPr>
          <w:rFonts w:ascii="David" w:eastAsia="Calibri" w:hAnsi="David"/>
          <w:noProof w:val="0"/>
          <w:rtl/>
        </w:rPr>
        <w:t xml:space="preserve"> לפעול לקיום הצוואה כלפי הנהנים שנקבעו בהוראת סעיף 5 לצוואה – כנהנים הבאים </w:t>
      </w:r>
      <w:r w:rsidR="00E34603" w:rsidRPr="000A0522">
        <w:rPr>
          <w:rFonts w:ascii="David" w:eastAsia="Calibri" w:hAnsi="David"/>
          <w:b/>
          <w:bCs/>
          <w:noProof w:val="0"/>
          <w:rtl/>
        </w:rPr>
        <w:t>במקום</w:t>
      </w:r>
      <w:r w:rsidR="00E34603" w:rsidRPr="000A0522">
        <w:rPr>
          <w:rFonts w:ascii="David" w:eastAsia="Calibri" w:hAnsi="David"/>
          <w:noProof w:val="0"/>
          <w:rtl/>
        </w:rPr>
        <w:t xml:space="preserve"> בן הזוג היורש (שלא היה </w:t>
      </w:r>
      <w:r w:rsidRPr="000A0522">
        <w:rPr>
          <w:rFonts w:ascii="David" w:eastAsia="Calibri" w:hAnsi="David"/>
          <w:noProof w:val="0"/>
          <w:rtl/>
        </w:rPr>
        <w:t>בחיים בעת פטירת בן הזוג המוריש)</w:t>
      </w:r>
      <w:r w:rsidR="00C70226">
        <w:rPr>
          <w:rFonts w:ascii="David" w:eastAsia="Calibri" w:hAnsi="David" w:hint="cs"/>
          <w:noProof w:val="0"/>
          <w:rtl/>
        </w:rPr>
        <w:t>, ככל ששני בני הזוג נפ</w:t>
      </w:r>
      <w:r w:rsidR="00CC2503" w:rsidRPr="000A0522">
        <w:rPr>
          <w:rFonts w:ascii="David" w:eastAsia="Calibri" w:hAnsi="David" w:hint="cs"/>
          <w:noProof w:val="0"/>
          <w:rtl/>
        </w:rPr>
        <w:t>ט</w:t>
      </w:r>
      <w:r w:rsidR="00C70226">
        <w:rPr>
          <w:rFonts w:ascii="David" w:eastAsia="Calibri" w:hAnsi="David" w:hint="cs"/>
          <w:noProof w:val="0"/>
          <w:rtl/>
        </w:rPr>
        <w:t>ר</w:t>
      </w:r>
      <w:r w:rsidR="00CC2503" w:rsidRPr="000A0522">
        <w:rPr>
          <w:rFonts w:ascii="David" w:eastAsia="Calibri" w:hAnsi="David" w:hint="cs"/>
          <w:noProof w:val="0"/>
          <w:rtl/>
        </w:rPr>
        <w:t>ים ביחד או במצב בו לא נערכה צוואה אחרת</w:t>
      </w:r>
      <w:r w:rsidR="00C70226">
        <w:rPr>
          <w:rFonts w:ascii="David" w:eastAsia="Calibri" w:hAnsi="David" w:hint="cs"/>
          <w:noProof w:val="0"/>
          <w:rtl/>
        </w:rPr>
        <w:t xml:space="preserve"> לאחר פטירת המצווה הראשון ואזי הוראות הצוואה ההדדית יעמדו בתוקפן עת פטירת המצווה השני</w:t>
      </w:r>
      <w:r w:rsidR="00CC2503" w:rsidRPr="000A0522">
        <w:rPr>
          <w:rFonts w:ascii="David" w:eastAsia="Calibri" w:hAnsi="David" w:hint="cs"/>
          <w:noProof w:val="0"/>
          <w:rtl/>
        </w:rPr>
        <w:t>.</w:t>
      </w:r>
    </w:p>
    <w:p w:rsidR="000A7E90" w:rsidRDefault="000A7E90" w:rsidP="000A7E90">
      <w:pPr>
        <w:pStyle w:val="ae"/>
        <w:rPr>
          <w:rFonts w:ascii="David" w:eastAsia="Calibri" w:hAnsi="David"/>
          <w:noProof w:val="0"/>
          <w:rtl/>
        </w:rPr>
      </w:pPr>
    </w:p>
    <w:p w:rsidR="000A7E90" w:rsidRDefault="000A7E90" w:rsidP="00C70226">
      <w:pPr>
        <w:numPr>
          <w:ilvl w:val="0"/>
          <w:numId w:val="4"/>
        </w:numPr>
        <w:spacing w:after="160" w:line="360" w:lineRule="auto"/>
        <w:ind w:left="425" w:hanging="425"/>
        <w:contextualSpacing/>
        <w:jc w:val="both"/>
        <w:rPr>
          <w:rFonts w:ascii="David" w:eastAsia="Calibri" w:hAnsi="David"/>
          <w:noProof w:val="0"/>
        </w:rPr>
      </w:pPr>
      <w:r w:rsidRPr="000A7E90">
        <w:rPr>
          <w:rFonts w:ascii="David" w:eastAsia="Calibri" w:hAnsi="David" w:hint="cs"/>
          <w:noProof w:val="0"/>
          <w:rtl/>
        </w:rPr>
        <w:t>לאור כל האמור הרי שיש לראות בהוראת סעיף 5 הסדר של "</w:t>
      </w:r>
      <w:r w:rsidRPr="007E2136">
        <w:rPr>
          <w:rFonts w:ascii="David" w:eastAsia="Calibri" w:hAnsi="David" w:hint="cs"/>
          <w:b/>
          <w:bCs/>
          <w:noProof w:val="0"/>
          <w:rtl/>
        </w:rPr>
        <w:t>יורש במקום יורש</w:t>
      </w:r>
      <w:r w:rsidRPr="000A7E90">
        <w:rPr>
          <w:rFonts w:ascii="David" w:eastAsia="Calibri" w:hAnsi="David" w:hint="cs"/>
          <w:noProof w:val="0"/>
          <w:rtl/>
        </w:rPr>
        <w:t>", וכפועל יוצא מכך הרי שלא ניתן ללמוד מהוראה זו על הסתמכות מוגברת של המנוחים לפני, ואין בה משום הוראה המגבילה את המנוחה לערוך צוואה חדשה, בהתאם ל</w:t>
      </w:r>
      <w:r w:rsidR="00AA32EC">
        <w:rPr>
          <w:rFonts w:ascii="David" w:eastAsia="Calibri" w:hAnsi="David" w:hint="cs"/>
          <w:noProof w:val="0"/>
          <w:rtl/>
        </w:rPr>
        <w:t>סיפא</w:t>
      </w:r>
      <w:r w:rsidR="00C70226">
        <w:rPr>
          <w:rFonts w:ascii="David" w:eastAsia="Calibri" w:hAnsi="David" w:hint="cs"/>
          <w:noProof w:val="0"/>
          <w:rtl/>
        </w:rPr>
        <w:t xml:space="preserve"> ל</w:t>
      </w:r>
      <w:r w:rsidRPr="000A7E90">
        <w:rPr>
          <w:rFonts w:ascii="David" w:eastAsia="Calibri" w:hAnsi="David" w:hint="cs"/>
          <w:noProof w:val="0"/>
          <w:rtl/>
        </w:rPr>
        <w:t xml:space="preserve">הוראת סעיף 42 (ב) </w:t>
      </w:r>
      <w:r w:rsidR="00C70226">
        <w:rPr>
          <w:rFonts w:ascii="David" w:eastAsia="Calibri" w:hAnsi="David" w:hint="cs"/>
          <w:noProof w:val="0"/>
          <w:rtl/>
        </w:rPr>
        <w:t>לחוק הירושה</w:t>
      </w:r>
      <w:r w:rsidR="007E2136">
        <w:rPr>
          <w:rFonts w:ascii="David" w:eastAsia="Calibri" w:hAnsi="David" w:hint="cs"/>
          <w:noProof w:val="0"/>
          <w:rtl/>
        </w:rPr>
        <w:t>, או ללמד על אומד דעתם של המצווים ליצור מניעות לשינוי הצוואה באופן חד צדדי</w:t>
      </w:r>
      <w:r>
        <w:rPr>
          <w:rFonts w:ascii="David" w:eastAsia="Calibri" w:hAnsi="David" w:hint="cs"/>
          <w:noProof w:val="0"/>
          <w:rtl/>
        </w:rPr>
        <w:t>.</w:t>
      </w:r>
    </w:p>
    <w:p w:rsidR="00EF2A84" w:rsidRDefault="00EF2A84" w:rsidP="00EF2A84">
      <w:pPr>
        <w:pStyle w:val="ae"/>
        <w:rPr>
          <w:rFonts w:ascii="David" w:eastAsia="Calibri" w:hAnsi="David"/>
          <w:noProof w:val="0"/>
          <w:rtl/>
        </w:rPr>
      </w:pPr>
    </w:p>
    <w:p w:rsidR="00AA32EC" w:rsidRDefault="00EF2A84" w:rsidP="00AA32EC">
      <w:pPr>
        <w:numPr>
          <w:ilvl w:val="0"/>
          <w:numId w:val="4"/>
        </w:numPr>
        <w:spacing w:line="360" w:lineRule="auto"/>
        <w:ind w:left="425" w:hanging="425"/>
        <w:contextualSpacing/>
        <w:jc w:val="both"/>
        <w:rPr>
          <w:rFonts w:ascii="David" w:eastAsia="Calibri" w:hAnsi="David"/>
          <w:noProof w:val="0"/>
        </w:rPr>
      </w:pPr>
      <w:r>
        <w:rPr>
          <w:rFonts w:ascii="David" w:eastAsia="Calibri" w:hAnsi="David" w:hint="cs"/>
          <w:noProof w:val="0"/>
          <w:rtl/>
        </w:rPr>
        <w:t>למעלה מן הצורך אציין</w:t>
      </w:r>
      <w:r w:rsidR="00AA32EC">
        <w:rPr>
          <w:rFonts w:ascii="David" w:eastAsia="Calibri" w:hAnsi="David" w:hint="cs"/>
          <w:noProof w:val="0"/>
          <w:rtl/>
        </w:rPr>
        <w:t>,</w:t>
      </w:r>
      <w:r>
        <w:rPr>
          <w:rFonts w:ascii="David" w:eastAsia="Calibri" w:hAnsi="David" w:hint="cs"/>
          <w:noProof w:val="0"/>
          <w:rtl/>
        </w:rPr>
        <w:t xml:space="preserve"> כי אף אם תמצי לומר כי מדובר בהוראת "יורש אחר יורש", הרי שכפי שנקבע לאחרונה בפס"ד של כב' השופטת וילנר ב</w:t>
      </w:r>
      <w:r w:rsidRPr="00AA32EC">
        <w:rPr>
          <w:rFonts w:ascii="David" w:eastAsia="Calibri" w:hAnsi="David" w:hint="cs"/>
          <w:noProof w:val="0"/>
          <w:rtl/>
        </w:rPr>
        <w:t xml:space="preserve">בע"מ </w:t>
      </w:r>
      <w:r w:rsidRPr="00AA32EC">
        <w:rPr>
          <w:rFonts w:ascii="David" w:eastAsia="Calibri" w:hAnsi="David"/>
          <w:noProof w:val="0"/>
          <w:rtl/>
        </w:rPr>
        <w:t>7884/23</w:t>
      </w:r>
      <w:r w:rsidRPr="00AA32EC">
        <w:rPr>
          <w:rFonts w:ascii="David" w:eastAsia="Calibri" w:hAnsi="David" w:hint="cs"/>
          <w:noProof w:val="0"/>
          <w:rtl/>
        </w:rPr>
        <w:t xml:space="preserve"> </w:t>
      </w:r>
      <w:r w:rsidRPr="00EF2A84">
        <w:rPr>
          <w:rFonts w:ascii="David" w:eastAsia="Calibri" w:hAnsi="David" w:hint="cs"/>
          <w:noProof w:val="0"/>
          <w:rtl/>
        </w:rPr>
        <w:t xml:space="preserve">הרי שהלכת </w:t>
      </w:r>
      <w:r w:rsidRPr="00AA32EC">
        <w:rPr>
          <w:rFonts w:ascii="David" w:eastAsia="Calibri" w:hAnsi="David" w:hint="cs"/>
          <w:noProof w:val="0"/>
          <w:rtl/>
        </w:rPr>
        <w:t>זמיר</w:t>
      </w:r>
      <w:r w:rsidRPr="00EF2A84">
        <w:rPr>
          <w:rFonts w:ascii="David" w:eastAsia="Calibri" w:hAnsi="David" w:hint="cs"/>
          <w:noProof w:val="0"/>
          <w:rtl/>
        </w:rPr>
        <w:t xml:space="preserve"> לא הוגבלה</w:t>
      </w:r>
      <w:r w:rsidR="007E2136">
        <w:rPr>
          <w:rFonts w:ascii="David" w:eastAsia="Calibri" w:hAnsi="David" w:hint="cs"/>
          <w:noProof w:val="0"/>
          <w:rtl/>
        </w:rPr>
        <w:t xml:space="preserve"> אך למצב בו הוראות הצוואה הינן בגדר יורש במקום יורש</w:t>
      </w:r>
      <w:r>
        <w:rPr>
          <w:rFonts w:ascii="David" w:eastAsia="Calibri" w:hAnsi="David" w:hint="cs"/>
          <w:noProof w:val="0"/>
          <w:rtl/>
        </w:rPr>
        <w:t xml:space="preserve">: </w:t>
      </w:r>
    </w:p>
    <w:p w:rsidR="00EF2A84" w:rsidRPr="00AA32EC" w:rsidRDefault="00EF2A84" w:rsidP="00AA32EC">
      <w:pPr>
        <w:spacing w:line="360" w:lineRule="auto"/>
        <w:ind w:left="425"/>
        <w:contextualSpacing/>
        <w:jc w:val="both"/>
        <w:rPr>
          <w:rFonts w:ascii="David" w:eastAsia="Calibri" w:hAnsi="David"/>
          <w:noProof w:val="0"/>
          <w:rtl/>
        </w:rPr>
      </w:pPr>
      <w:r w:rsidRPr="00AA32EC">
        <w:rPr>
          <w:rFonts w:ascii="David" w:eastAsia="Calibri" w:hAnsi="David" w:hint="cs"/>
          <w:noProof w:val="0"/>
          <w:rtl/>
        </w:rPr>
        <w:t>"</w:t>
      </w:r>
      <w:r w:rsidRPr="00AA32EC">
        <w:rPr>
          <w:rFonts w:ascii="David" w:eastAsia="Calibri" w:hAnsi="David"/>
          <w:b/>
          <w:bCs/>
          <w:noProof w:val="0"/>
          <w:rtl/>
        </w:rPr>
        <w:t>אין עיגון לטענה שלפיה הקביעות של השופטת נאור בעניין זמיר התייחסו אך לנסיבות המקרה הקונקרטי  ("יורש במקום יורש") – ההפך הוא הנכון (ולעניין זה השופטת ארבל הסכימה עם השופטת נאור). על פניו, ההלכה שנקבעה שם מפי השופטת נאור התייחסה באופן כללי לזכות מצווה לשנות צוואה הדדית, יהיו תנאיה אשר יהיו</w:t>
      </w:r>
      <w:r w:rsidRPr="00AA32EC">
        <w:rPr>
          <w:rFonts w:ascii="David" w:eastAsia="Calibri" w:hAnsi="David"/>
          <w:noProof w:val="0"/>
          <w:rtl/>
        </w:rPr>
        <w:t>.</w:t>
      </w:r>
      <w:r w:rsidRPr="00AA32EC">
        <w:rPr>
          <w:rFonts w:ascii="David" w:eastAsia="Calibri" w:hAnsi="David" w:hint="cs"/>
          <w:noProof w:val="0"/>
          <w:rtl/>
        </w:rPr>
        <w:t>"</w:t>
      </w:r>
    </w:p>
    <w:p w:rsidR="007F0236" w:rsidRDefault="007F0236" w:rsidP="00AA32EC">
      <w:pPr>
        <w:spacing w:line="360" w:lineRule="auto"/>
        <w:contextualSpacing/>
        <w:jc w:val="both"/>
        <w:rPr>
          <w:rFonts w:ascii="David" w:eastAsia="Calibri" w:hAnsi="David"/>
          <w:noProof w:val="0"/>
          <w:rtl/>
        </w:rPr>
      </w:pPr>
    </w:p>
    <w:p w:rsidR="000A7E90" w:rsidRDefault="00B137A6" w:rsidP="007F0236">
      <w:pPr>
        <w:spacing w:after="160" w:line="360" w:lineRule="auto"/>
        <w:contextualSpacing/>
        <w:jc w:val="both"/>
        <w:rPr>
          <w:rFonts w:ascii="David" w:eastAsia="Calibri" w:hAnsi="David"/>
          <w:noProof w:val="0"/>
        </w:rPr>
      </w:pPr>
      <w:r w:rsidRPr="000A7E90">
        <w:rPr>
          <w:rFonts w:ascii="David" w:eastAsia="Calibri" w:hAnsi="David"/>
          <w:b/>
          <w:bCs/>
          <w:noProof w:val="0"/>
          <w:rtl/>
        </w:rPr>
        <w:t xml:space="preserve">מניעות לשינוי הצוואה </w:t>
      </w:r>
      <w:r w:rsidRPr="000A7E90">
        <w:rPr>
          <w:rFonts w:ascii="David" w:eastAsia="Calibri" w:hAnsi="David" w:hint="cs"/>
          <w:b/>
          <w:bCs/>
          <w:noProof w:val="0"/>
          <w:rtl/>
        </w:rPr>
        <w:t>מכוח</w:t>
      </w:r>
      <w:r w:rsidRPr="000A7E90">
        <w:rPr>
          <w:rFonts w:ascii="David" w:eastAsia="Calibri" w:hAnsi="David"/>
          <w:b/>
          <w:bCs/>
          <w:noProof w:val="0"/>
          <w:rtl/>
        </w:rPr>
        <w:t xml:space="preserve"> עקרון תום הלב</w:t>
      </w:r>
    </w:p>
    <w:p w:rsidR="000A7E90" w:rsidRPr="007F0236" w:rsidRDefault="000A7E90" w:rsidP="000A7E90">
      <w:pPr>
        <w:pStyle w:val="ae"/>
        <w:rPr>
          <w:rFonts w:ascii="David" w:eastAsia="Calibri" w:hAnsi="David"/>
          <w:noProof w:val="0"/>
          <w:rtl/>
        </w:rPr>
      </w:pPr>
    </w:p>
    <w:p w:rsidR="000A7E90" w:rsidRPr="007F0236" w:rsidRDefault="00867283" w:rsidP="007F0236">
      <w:pPr>
        <w:numPr>
          <w:ilvl w:val="0"/>
          <w:numId w:val="4"/>
        </w:numPr>
        <w:spacing w:after="160" w:line="360" w:lineRule="auto"/>
        <w:ind w:left="425" w:hanging="425"/>
        <w:contextualSpacing/>
        <w:jc w:val="both"/>
        <w:rPr>
          <w:rFonts w:ascii="David" w:eastAsia="Calibri" w:hAnsi="David"/>
          <w:noProof w:val="0"/>
        </w:rPr>
      </w:pPr>
      <w:r>
        <w:rPr>
          <w:rFonts w:ascii="David" w:eastAsia="Calibri" w:hAnsi="David" w:hint="cs"/>
          <w:noProof w:val="0"/>
          <w:rtl/>
        </w:rPr>
        <w:t xml:space="preserve">בשולי החלטה זו אציין כי </w:t>
      </w:r>
      <w:r w:rsidR="00C70226">
        <w:rPr>
          <w:rFonts w:ascii="David" w:eastAsia="Calibri" w:hAnsi="David" w:hint="cs"/>
          <w:noProof w:val="0"/>
          <w:rtl/>
        </w:rPr>
        <w:t xml:space="preserve">כאמור, קיים בפסיקה פתח </w:t>
      </w:r>
      <w:r w:rsidR="00B137A6" w:rsidRPr="000A7E90">
        <w:rPr>
          <w:rFonts w:ascii="David" w:eastAsia="Calibri" w:hAnsi="David"/>
          <w:noProof w:val="0"/>
          <w:rtl/>
        </w:rPr>
        <w:t xml:space="preserve">להגבלת כוחו של המצווה </w:t>
      </w:r>
      <w:r w:rsidR="00B137A6" w:rsidRPr="000A7E90">
        <w:rPr>
          <w:rFonts w:ascii="David" w:eastAsia="Calibri" w:hAnsi="David" w:hint="cs"/>
          <w:noProof w:val="0"/>
          <w:rtl/>
        </w:rPr>
        <w:t xml:space="preserve">לשנות </w:t>
      </w:r>
      <w:r w:rsidR="00B137A6" w:rsidRPr="000A7E90">
        <w:rPr>
          <w:rFonts w:ascii="David" w:eastAsia="Calibri" w:hAnsi="David"/>
          <w:noProof w:val="0"/>
          <w:rtl/>
        </w:rPr>
        <w:t>צוואתו</w:t>
      </w:r>
      <w:r w:rsidR="00B137A6" w:rsidRPr="000A7E90">
        <w:rPr>
          <w:rFonts w:ascii="David" w:eastAsia="Calibri" w:hAnsi="David" w:hint="cs"/>
          <w:noProof w:val="0"/>
          <w:rtl/>
        </w:rPr>
        <w:t>,</w:t>
      </w:r>
      <w:r w:rsidR="00B137A6" w:rsidRPr="000A7E90">
        <w:rPr>
          <w:rFonts w:ascii="David" w:eastAsia="Calibri" w:hAnsi="David"/>
          <w:noProof w:val="0"/>
          <w:rtl/>
        </w:rPr>
        <w:t xml:space="preserve"> באמצעות השימוש </w:t>
      </w:r>
      <w:r w:rsidR="00B137A6" w:rsidRPr="000A7E90">
        <w:rPr>
          <w:rFonts w:ascii="David" w:eastAsia="Calibri" w:hAnsi="David"/>
          <w:b/>
          <w:bCs/>
          <w:noProof w:val="0"/>
          <w:rtl/>
        </w:rPr>
        <w:t>בעיקרון תום הלב</w:t>
      </w:r>
      <w:r w:rsidR="00B137A6" w:rsidRPr="000A7E90">
        <w:rPr>
          <w:rFonts w:ascii="David" w:eastAsia="Calibri" w:hAnsi="David" w:hint="cs"/>
          <w:b/>
          <w:bCs/>
          <w:noProof w:val="0"/>
          <w:rtl/>
        </w:rPr>
        <w:t>,</w:t>
      </w:r>
      <w:r w:rsidR="00B137A6" w:rsidRPr="000A7E90">
        <w:rPr>
          <w:rFonts w:ascii="David" w:eastAsia="Calibri" w:hAnsi="David" w:hint="cs"/>
          <w:noProof w:val="0"/>
          <w:rtl/>
        </w:rPr>
        <w:t xml:space="preserve"> </w:t>
      </w:r>
      <w:r w:rsidR="00C70226">
        <w:rPr>
          <w:rFonts w:ascii="David" w:eastAsia="Calibri" w:hAnsi="David" w:hint="cs"/>
          <w:noProof w:val="0"/>
          <w:rtl/>
        </w:rPr>
        <w:t>אם נמצא ש</w:t>
      </w:r>
      <w:r w:rsidR="00B137A6" w:rsidRPr="000A7E90">
        <w:rPr>
          <w:rFonts w:ascii="David" w:eastAsia="Calibri" w:hAnsi="David"/>
          <w:noProof w:val="0"/>
          <w:rtl/>
        </w:rPr>
        <w:t>היורש שנותר בחיים פעל שלא בתום לב</w:t>
      </w:r>
      <w:r w:rsidR="00B137A6" w:rsidRPr="000A7E90">
        <w:rPr>
          <w:rFonts w:ascii="David" w:eastAsia="Calibri" w:hAnsi="David" w:hint="cs"/>
          <w:noProof w:val="0"/>
          <w:rtl/>
        </w:rPr>
        <w:t xml:space="preserve"> (ראו: </w:t>
      </w:r>
      <w:r w:rsidR="00B137A6" w:rsidRPr="007F0236">
        <w:rPr>
          <w:rFonts w:ascii="David" w:eastAsia="Calibri" w:hAnsi="David" w:hint="cs"/>
          <w:noProof w:val="0"/>
          <w:rtl/>
        </w:rPr>
        <w:t>הלכת</w:t>
      </w:r>
      <w:r w:rsidR="00B137A6" w:rsidRPr="000A7E90">
        <w:rPr>
          <w:rFonts w:ascii="David" w:eastAsia="Calibri" w:hAnsi="David" w:hint="cs"/>
          <w:b/>
          <w:bCs/>
          <w:noProof w:val="0"/>
          <w:rtl/>
        </w:rPr>
        <w:t xml:space="preserve"> </w:t>
      </w:r>
      <w:r w:rsidR="00B137A6" w:rsidRPr="002F6436">
        <w:rPr>
          <w:rFonts w:ascii="David" w:eastAsia="Calibri" w:hAnsi="David" w:hint="cs"/>
          <w:noProof w:val="0"/>
          <w:rtl/>
        </w:rPr>
        <w:t>זמיר</w:t>
      </w:r>
      <w:r w:rsidR="00B137A6" w:rsidRPr="000A7E90">
        <w:rPr>
          <w:rFonts w:ascii="David" w:eastAsia="Calibri" w:hAnsi="David" w:hint="cs"/>
          <w:noProof w:val="0"/>
          <w:rtl/>
        </w:rPr>
        <w:t xml:space="preserve">, </w:t>
      </w:r>
      <w:r w:rsidR="007F0236">
        <w:rPr>
          <w:rFonts w:ascii="David" w:eastAsia="Calibri" w:hAnsi="David" w:hint="cs"/>
          <w:noProof w:val="0"/>
          <w:rtl/>
        </w:rPr>
        <w:t>ופסק דינו של כבוד השופט וייצמן ב</w:t>
      </w:r>
      <w:r w:rsidR="00B137A6" w:rsidRPr="007F0236">
        <w:rPr>
          <w:rFonts w:ascii="David" w:hAnsi="David"/>
          <w:color w:val="000000"/>
          <w:rtl/>
        </w:rPr>
        <w:t>עמש (</w:t>
      </w:r>
      <w:r w:rsidR="00B137A6" w:rsidRPr="007F0236">
        <w:rPr>
          <w:rFonts w:ascii="David" w:hAnsi="David" w:hint="cs"/>
          <w:color w:val="000000"/>
          <w:rtl/>
        </w:rPr>
        <w:t xml:space="preserve">מחוזי </w:t>
      </w:r>
      <w:r w:rsidR="00B137A6" w:rsidRPr="007F0236">
        <w:rPr>
          <w:rFonts w:ascii="David" w:hAnsi="David"/>
          <w:color w:val="000000"/>
          <w:rtl/>
        </w:rPr>
        <w:t>מרכז) 39317-10-22</w:t>
      </w:r>
      <w:r w:rsidR="007F0236">
        <w:rPr>
          <w:rFonts w:ascii="David" w:eastAsia="Calibri" w:hAnsi="David" w:hint="cs"/>
          <w:noProof w:val="0"/>
          <w:rtl/>
        </w:rPr>
        <w:t>, אשר נהפך לאחרונה בבע"מ 7884/23</w:t>
      </w:r>
      <w:r w:rsidR="00B137A6" w:rsidRPr="007F0236">
        <w:rPr>
          <w:rFonts w:ascii="David" w:eastAsia="Calibri" w:hAnsi="David" w:hint="cs"/>
          <w:noProof w:val="0"/>
          <w:rtl/>
        </w:rPr>
        <w:t>).</w:t>
      </w:r>
    </w:p>
    <w:p w:rsidR="00C70226" w:rsidRPr="00C70226" w:rsidRDefault="00C70226" w:rsidP="00C70226">
      <w:pPr>
        <w:spacing w:after="160" w:line="360" w:lineRule="auto"/>
        <w:ind w:left="425"/>
        <w:contextualSpacing/>
        <w:jc w:val="both"/>
        <w:rPr>
          <w:rFonts w:ascii="David" w:eastAsia="Calibri" w:hAnsi="David"/>
          <w:noProof w:val="0"/>
        </w:rPr>
      </w:pPr>
    </w:p>
    <w:p w:rsidR="00C70226" w:rsidRDefault="00C70226" w:rsidP="00C70226">
      <w:pPr>
        <w:numPr>
          <w:ilvl w:val="0"/>
          <w:numId w:val="4"/>
        </w:numPr>
        <w:spacing w:after="160" w:line="360" w:lineRule="auto"/>
        <w:ind w:left="425" w:hanging="425"/>
        <w:contextualSpacing/>
        <w:jc w:val="both"/>
        <w:rPr>
          <w:rFonts w:ascii="David" w:eastAsia="Calibri" w:hAnsi="David"/>
          <w:noProof w:val="0"/>
        </w:rPr>
      </w:pPr>
      <w:r w:rsidRPr="00C70226">
        <w:rPr>
          <w:rFonts w:ascii="David" w:eastAsia="Calibri" w:hAnsi="David" w:hint="cs"/>
          <w:noProof w:val="0"/>
          <w:rtl/>
        </w:rPr>
        <w:t xml:space="preserve">פתח זה פורש </w:t>
      </w:r>
      <w:r>
        <w:rPr>
          <w:rFonts w:ascii="David" w:eastAsia="Calibri" w:hAnsi="David" w:hint="cs"/>
          <w:noProof w:val="0"/>
          <w:rtl/>
        </w:rPr>
        <w:t>בפסיקה כאמור בצמצום, כ'פתח צר' בלבד.</w:t>
      </w:r>
    </w:p>
    <w:p w:rsidR="00C70226" w:rsidRPr="00C70226" w:rsidRDefault="00C70226" w:rsidP="00C70226">
      <w:pPr>
        <w:pStyle w:val="ae"/>
        <w:rPr>
          <w:rFonts w:ascii="David" w:eastAsia="Calibri" w:hAnsi="David"/>
          <w:noProof w:val="0"/>
          <w:rtl/>
        </w:rPr>
      </w:pPr>
    </w:p>
    <w:p w:rsidR="00C70226" w:rsidRPr="00C70226" w:rsidRDefault="00C70226" w:rsidP="007F0236">
      <w:pPr>
        <w:numPr>
          <w:ilvl w:val="0"/>
          <w:numId w:val="4"/>
        </w:numPr>
        <w:spacing w:after="160" w:line="360" w:lineRule="auto"/>
        <w:ind w:left="425" w:hanging="425"/>
        <w:contextualSpacing/>
        <w:jc w:val="both"/>
        <w:rPr>
          <w:rFonts w:ascii="David" w:eastAsia="Calibri" w:hAnsi="David"/>
          <w:b/>
          <w:bCs/>
          <w:noProof w:val="0"/>
        </w:rPr>
      </w:pPr>
      <w:r w:rsidRPr="00C70226">
        <w:rPr>
          <w:rFonts w:ascii="David" w:eastAsia="Calibri" w:hAnsi="David" w:hint="cs"/>
          <w:noProof w:val="0"/>
          <w:rtl/>
        </w:rPr>
        <w:t>וראו דברי כב' השופטת וילנר ב</w:t>
      </w:r>
      <w:r w:rsidRPr="00C70226">
        <w:rPr>
          <w:rFonts w:ascii="David" w:eastAsia="Calibri" w:hAnsi="David" w:hint="cs"/>
          <w:b/>
          <w:bCs/>
          <w:noProof w:val="0"/>
          <w:rtl/>
        </w:rPr>
        <w:t>בע"מ 7884/23</w:t>
      </w:r>
      <w:r w:rsidRPr="00C70226">
        <w:rPr>
          <w:rFonts w:ascii="David" w:eastAsia="Calibri" w:hAnsi="David" w:hint="cs"/>
          <w:noProof w:val="0"/>
          <w:rtl/>
        </w:rPr>
        <w:t xml:space="preserve"> הנ"ל, לפיהם אין בעצם ביטול צוואה הדדית משום חוסר תום לב, כדלהלן : </w:t>
      </w:r>
      <w:r>
        <w:rPr>
          <w:rFonts w:ascii="David" w:eastAsia="Calibri" w:hAnsi="David" w:hint="cs"/>
          <w:noProof w:val="0"/>
          <w:rtl/>
        </w:rPr>
        <w:t>"</w:t>
      </w:r>
      <w:r w:rsidRPr="00C70226">
        <w:rPr>
          <w:rFonts w:ascii="David" w:eastAsia="Calibri" w:hAnsi="David"/>
          <w:b/>
          <w:bCs/>
          <w:noProof w:val="0"/>
          <w:rtl/>
        </w:rPr>
        <w:t xml:space="preserve">לא ניתן להחיל את דרישת תום הלב באופן שיביא להגבלת חופש הציווי בדיני הירושה. ובמילים אחרות: לא ניתן להשתמש בעקרון תום הלב החוזי כ"מעקף" להוראותיו המפורשות של </w:t>
      </w:r>
      <w:hyperlink r:id="rId13" w:history="1">
        <w:r w:rsidRPr="00C70226">
          <w:rPr>
            <w:rFonts w:ascii="David" w:eastAsia="Calibri" w:hAnsi="David" w:hint="eastAsia"/>
            <w:b/>
            <w:bCs/>
            <w:noProof w:val="0"/>
            <w:rtl/>
          </w:rPr>
          <w:t>חוק</w:t>
        </w:r>
        <w:r w:rsidRPr="00C70226">
          <w:rPr>
            <w:rFonts w:ascii="David" w:eastAsia="Calibri" w:hAnsi="David"/>
            <w:b/>
            <w:bCs/>
            <w:noProof w:val="0"/>
            <w:rtl/>
          </w:rPr>
          <w:t xml:space="preserve"> </w:t>
        </w:r>
        <w:r w:rsidRPr="00C70226">
          <w:rPr>
            <w:rFonts w:ascii="David" w:eastAsia="Calibri" w:hAnsi="David" w:hint="eastAsia"/>
            <w:b/>
            <w:bCs/>
            <w:noProof w:val="0"/>
            <w:rtl/>
          </w:rPr>
          <w:t>הירושה</w:t>
        </w:r>
      </w:hyperlink>
      <w:r w:rsidRPr="00C70226">
        <w:rPr>
          <w:rFonts w:ascii="David" w:eastAsia="Calibri" w:hAnsi="David"/>
          <w:b/>
          <w:bCs/>
          <w:noProof w:val="0"/>
          <w:rtl/>
        </w:rPr>
        <w:t xml:space="preserve"> בעניין זה.</w:t>
      </w:r>
      <w:r w:rsidRPr="00C70226">
        <w:rPr>
          <w:rFonts w:ascii="David" w:eastAsia="Calibri" w:hAnsi="David" w:hint="cs"/>
          <w:b/>
          <w:bCs/>
          <w:noProof w:val="0"/>
          <w:rtl/>
        </w:rPr>
        <w:t>..</w:t>
      </w:r>
      <w:r w:rsidRPr="00C70226">
        <w:rPr>
          <w:rFonts w:ascii="David" w:eastAsia="Calibri" w:hAnsi="David"/>
          <w:b/>
          <w:bCs/>
          <w:noProof w:val="0"/>
          <w:rtl/>
        </w:rPr>
        <w:t>הנה כי כן, אני סבורה כי קביעת בית המשפט המחוזי שלפיה המנוח נהג בחוסר תום לב עת ביטל את צוואתו ההדדית, מוקשית ואינה יכולה לעמוד</w:t>
      </w:r>
      <w:r>
        <w:rPr>
          <w:rFonts w:ascii="David" w:eastAsia="Calibri" w:hAnsi="David" w:hint="cs"/>
          <w:b/>
          <w:bCs/>
          <w:noProof w:val="0"/>
          <w:rtl/>
        </w:rPr>
        <w:t>"</w:t>
      </w:r>
      <w:r w:rsidRPr="00C70226">
        <w:rPr>
          <w:rFonts w:ascii="David" w:eastAsia="Calibri" w:hAnsi="David"/>
          <w:b/>
          <w:bCs/>
          <w:noProof w:val="0"/>
          <w:rtl/>
        </w:rPr>
        <w:t>.</w:t>
      </w:r>
    </w:p>
    <w:p w:rsidR="00C70226" w:rsidRDefault="00C70226" w:rsidP="00C70226">
      <w:pPr>
        <w:pStyle w:val="ae"/>
        <w:rPr>
          <w:rFonts w:ascii="David" w:eastAsia="Calibri" w:hAnsi="David"/>
          <w:noProof w:val="0"/>
          <w:rtl/>
        </w:rPr>
      </w:pPr>
    </w:p>
    <w:p w:rsidR="00C70226" w:rsidRDefault="002F6436" w:rsidP="002F6436">
      <w:pPr>
        <w:numPr>
          <w:ilvl w:val="0"/>
          <w:numId w:val="4"/>
        </w:numPr>
        <w:spacing w:after="160" w:line="360" w:lineRule="auto"/>
        <w:ind w:left="425" w:hanging="425"/>
        <w:contextualSpacing/>
        <w:jc w:val="both"/>
        <w:rPr>
          <w:rFonts w:ascii="David" w:eastAsia="Calibri" w:hAnsi="David"/>
          <w:noProof w:val="0"/>
        </w:rPr>
      </w:pPr>
      <w:r>
        <w:rPr>
          <w:rFonts w:ascii="David" w:eastAsia="Calibri" w:hAnsi="David" w:hint="cs"/>
          <w:noProof w:val="0"/>
          <w:rtl/>
        </w:rPr>
        <w:t>ודוק, כב'</w:t>
      </w:r>
      <w:r w:rsidR="00C70226">
        <w:rPr>
          <w:rFonts w:ascii="David" w:eastAsia="Calibri" w:hAnsi="David" w:hint="cs"/>
          <w:noProof w:val="0"/>
          <w:rtl/>
        </w:rPr>
        <w:t xml:space="preserve"> השו</w:t>
      </w:r>
      <w:r>
        <w:rPr>
          <w:rFonts w:ascii="David" w:eastAsia="Calibri" w:hAnsi="David" w:hint="cs"/>
          <w:noProof w:val="0"/>
          <w:rtl/>
        </w:rPr>
        <w:t>פטת</w:t>
      </w:r>
      <w:r w:rsidR="00C70226">
        <w:rPr>
          <w:rFonts w:ascii="David" w:eastAsia="Calibri" w:hAnsi="David" w:hint="cs"/>
          <w:noProof w:val="0"/>
          <w:rtl/>
        </w:rPr>
        <w:t xml:space="preserve"> וילנר הבהירה כי אף אם ישנה הוראה מגבילה בצוואה ההדדית </w:t>
      </w:r>
      <w:r w:rsidR="00C70226">
        <w:rPr>
          <w:rFonts w:ascii="David" w:eastAsia="Calibri" w:hAnsi="David"/>
          <w:noProof w:val="0"/>
          <w:rtl/>
        </w:rPr>
        <w:t>–</w:t>
      </w:r>
      <w:r w:rsidR="00C70226">
        <w:rPr>
          <w:rFonts w:ascii="David" w:eastAsia="Calibri" w:hAnsi="David" w:hint="cs"/>
          <w:noProof w:val="0"/>
          <w:rtl/>
        </w:rPr>
        <w:t xml:space="preserve"> וכאמור איני סבורה כי יש לראות בסעיף 11 לצוואה משום הוראה מגבילה - הרי שאין בשינוי הצוואה משום חוסר תום לב, וראו דבריה בפסקה 42 שם: </w:t>
      </w:r>
      <w:r w:rsidR="00C70226" w:rsidRPr="00C70226">
        <w:rPr>
          <w:rFonts w:ascii="David" w:eastAsia="Calibri" w:hAnsi="David"/>
          <w:noProof w:val="0"/>
        </w:rPr>
        <w:t xml:space="preserve"> </w:t>
      </w:r>
      <w:r w:rsidR="00C70226">
        <w:rPr>
          <w:rFonts w:ascii="David" w:eastAsia="Calibri" w:hAnsi="David"/>
          <w:noProof w:val="0"/>
        </w:rPr>
        <w:t>"</w:t>
      </w:r>
      <w:r w:rsidR="00C70226">
        <w:rPr>
          <w:rFonts w:ascii="David" w:eastAsia="Calibri" w:hAnsi="David" w:hint="cs"/>
          <w:noProof w:val="0"/>
          <w:rtl/>
        </w:rPr>
        <w:t>...</w:t>
      </w:r>
      <w:r w:rsidR="00C70226" w:rsidRPr="00C70226">
        <w:rPr>
          <w:rFonts w:ascii="David" w:eastAsia="Calibri" w:hAnsi="David"/>
          <w:b/>
          <w:bCs/>
          <w:noProof w:val="0"/>
          <w:rtl/>
        </w:rPr>
        <w:t>אני סבורה כי יש קושי ממשי בגישה שלפיה, יתכן ויהא זה חוסר תום לב לשנות מצוואה הדדית אשר כללה הוראה המגבילה אפשרות זו – הוראה שהיא כאמור, חסרת תוקף משפטי. אימוץ הגישה האמורה, משמעותו, הלכה למעשה, החרגת הצוואות ההדדיות מתחולת חוק הירושה, ובפרט מסעיף 27 לחוק, ואיני מכירה סמכות שבדין להחרגה כאמור</w:t>
      </w:r>
      <w:r w:rsidR="00C70226">
        <w:rPr>
          <w:rFonts w:ascii="David" w:eastAsia="Calibri" w:hAnsi="David" w:hint="cs"/>
          <w:noProof w:val="0"/>
          <w:rtl/>
        </w:rPr>
        <w:t>"</w:t>
      </w:r>
      <w:r w:rsidR="00C70226" w:rsidRPr="00C70226">
        <w:rPr>
          <w:rFonts w:ascii="David" w:eastAsia="Calibri" w:hAnsi="David"/>
          <w:noProof w:val="0"/>
          <w:rtl/>
        </w:rPr>
        <w:t>.</w:t>
      </w:r>
    </w:p>
    <w:p w:rsidR="00C70226" w:rsidRDefault="00C70226" w:rsidP="00C70226">
      <w:pPr>
        <w:pStyle w:val="ae"/>
        <w:rPr>
          <w:rFonts w:ascii="David" w:eastAsia="Calibri" w:hAnsi="David"/>
          <w:noProof w:val="0"/>
          <w:rtl/>
        </w:rPr>
      </w:pPr>
    </w:p>
    <w:p w:rsidR="00867283" w:rsidRPr="00C70226" w:rsidRDefault="00B137A6" w:rsidP="00867283">
      <w:pPr>
        <w:numPr>
          <w:ilvl w:val="0"/>
          <w:numId w:val="4"/>
        </w:numPr>
        <w:spacing w:after="160" w:line="360" w:lineRule="auto"/>
        <w:ind w:left="425" w:hanging="425"/>
        <w:contextualSpacing/>
        <w:jc w:val="both"/>
        <w:rPr>
          <w:rFonts w:ascii="David" w:eastAsia="Calibri" w:hAnsi="David"/>
          <w:noProof w:val="0"/>
        </w:rPr>
      </w:pPr>
      <w:r w:rsidRPr="00C70226">
        <w:rPr>
          <w:rFonts w:ascii="David" w:eastAsia="Calibri" w:hAnsi="David" w:hint="cs"/>
          <w:noProof w:val="0"/>
          <w:rtl/>
        </w:rPr>
        <w:t xml:space="preserve">בעניינו, הצדדים </w:t>
      </w:r>
      <w:r w:rsidR="00867283" w:rsidRPr="00C70226">
        <w:rPr>
          <w:rFonts w:ascii="David" w:eastAsia="Calibri" w:hAnsi="David" w:hint="cs"/>
          <w:noProof w:val="0"/>
          <w:rtl/>
        </w:rPr>
        <w:t xml:space="preserve">כלל </w:t>
      </w:r>
      <w:r w:rsidRPr="00C70226">
        <w:rPr>
          <w:rFonts w:ascii="David" w:eastAsia="Calibri" w:hAnsi="David" w:hint="cs"/>
          <w:noProof w:val="0"/>
          <w:rtl/>
        </w:rPr>
        <w:t xml:space="preserve">לא טענו כי </w:t>
      </w:r>
      <w:r w:rsidRPr="00C70226">
        <w:rPr>
          <w:rFonts w:ascii="David" w:eastAsia="Calibri" w:hAnsi="David" w:hint="cs"/>
          <w:b/>
          <w:bCs/>
          <w:noProof w:val="0"/>
          <w:rtl/>
        </w:rPr>
        <w:t>המנוחה</w:t>
      </w:r>
      <w:r w:rsidRPr="00C70226">
        <w:rPr>
          <w:rFonts w:ascii="David" w:eastAsia="Calibri" w:hAnsi="David" w:hint="cs"/>
          <w:noProof w:val="0"/>
          <w:rtl/>
        </w:rPr>
        <w:t xml:space="preserve"> פעלה בחוסר תום לב, ולכל היותר העלו טענות כנגד התנהלותו של המשיב לעניין זה; כאמור, טענות ההתנגדות לצוואה ישקלו ויידונו במסגרת ההליך העיקרי.</w:t>
      </w:r>
    </w:p>
    <w:p w:rsidR="008421F0" w:rsidRDefault="008421F0" w:rsidP="008421F0">
      <w:pPr>
        <w:pStyle w:val="ae"/>
        <w:rPr>
          <w:rFonts w:ascii="David" w:eastAsia="Calibri" w:hAnsi="David"/>
          <w:noProof w:val="0"/>
          <w:rtl/>
        </w:rPr>
      </w:pPr>
    </w:p>
    <w:p w:rsidR="00073200" w:rsidRPr="00C70226" w:rsidRDefault="00CB3E41" w:rsidP="00FA404E">
      <w:pPr>
        <w:numPr>
          <w:ilvl w:val="0"/>
          <w:numId w:val="4"/>
        </w:numPr>
        <w:spacing w:after="160" w:line="360" w:lineRule="auto"/>
        <w:ind w:left="425" w:hanging="425"/>
        <w:contextualSpacing/>
        <w:jc w:val="both"/>
        <w:rPr>
          <w:rFonts w:ascii="David" w:eastAsia="Calibri" w:hAnsi="David"/>
          <w:noProof w:val="0"/>
        </w:rPr>
      </w:pPr>
      <w:r w:rsidRPr="00C70226">
        <w:rPr>
          <w:rFonts w:ascii="David" w:eastAsia="Calibri" w:hAnsi="David" w:hint="cs"/>
          <w:noProof w:val="0"/>
          <w:rtl/>
        </w:rPr>
        <w:t xml:space="preserve">למעלה מן הצורך אציין כי </w:t>
      </w:r>
      <w:r w:rsidR="00B137A6" w:rsidRPr="00C70226">
        <w:rPr>
          <w:rFonts w:ascii="David" w:eastAsia="Calibri" w:hAnsi="David" w:hint="cs"/>
          <w:noProof w:val="0"/>
          <w:rtl/>
        </w:rPr>
        <w:t xml:space="preserve">גם לגופם של דברים לא מצאתי כי מתקיימות נסיבות המצדיקות הגבלת כוחה של המנוחה </w:t>
      </w:r>
      <w:r w:rsidR="00C70226">
        <w:rPr>
          <w:rFonts w:ascii="David" w:eastAsia="Calibri" w:hAnsi="David" w:hint="cs"/>
          <w:noProof w:val="0"/>
          <w:rtl/>
        </w:rPr>
        <w:t xml:space="preserve">לשנות את הצוואה ההדדית </w:t>
      </w:r>
      <w:r w:rsidR="00B137A6" w:rsidRPr="00C70226">
        <w:rPr>
          <w:rFonts w:ascii="David" w:eastAsia="Calibri" w:hAnsi="David" w:hint="cs"/>
          <w:noProof w:val="0"/>
          <w:rtl/>
        </w:rPr>
        <w:t>מכ</w:t>
      </w:r>
      <w:r w:rsidRPr="00C70226">
        <w:rPr>
          <w:rFonts w:ascii="David" w:eastAsia="Calibri" w:hAnsi="David" w:hint="cs"/>
          <w:noProof w:val="0"/>
          <w:rtl/>
        </w:rPr>
        <w:t>וח עקרון תום הלב</w:t>
      </w:r>
      <w:r w:rsidR="00C70226" w:rsidRPr="00C70226">
        <w:rPr>
          <w:rFonts w:ascii="David" w:eastAsia="Calibri" w:hAnsi="David" w:hint="cs"/>
          <w:noProof w:val="0"/>
          <w:rtl/>
        </w:rPr>
        <w:t>;</w:t>
      </w:r>
      <w:r w:rsidR="00C70226">
        <w:rPr>
          <w:rFonts w:ascii="David" w:eastAsia="Calibri" w:hAnsi="David" w:hint="cs"/>
          <w:noProof w:val="0"/>
          <w:rtl/>
        </w:rPr>
        <w:t xml:space="preserve"> </w:t>
      </w:r>
      <w:r w:rsidR="005504B2" w:rsidRPr="00C70226">
        <w:rPr>
          <w:rFonts w:ascii="David" w:eastAsia="Calibri" w:hAnsi="David" w:hint="cs"/>
          <w:noProof w:val="0"/>
          <w:rtl/>
        </w:rPr>
        <w:t xml:space="preserve">כפי שסברה כב' השופטת נאור בהלכת </w:t>
      </w:r>
      <w:r w:rsidR="005504B2" w:rsidRPr="002F6436">
        <w:rPr>
          <w:rFonts w:ascii="David" w:eastAsia="Calibri" w:hAnsi="David" w:hint="cs"/>
          <w:noProof w:val="0"/>
          <w:rtl/>
        </w:rPr>
        <w:t>זמיר</w:t>
      </w:r>
      <w:r w:rsidR="005504B2" w:rsidRPr="00C70226">
        <w:rPr>
          <w:rFonts w:ascii="David" w:eastAsia="Calibri" w:hAnsi="David" w:hint="cs"/>
          <w:b/>
          <w:bCs/>
          <w:noProof w:val="0"/>
          <w:rtl/>
        </w:rPr>
        <w:t xml:space="preserve">, </w:t>
      </w:r>
      <w:r w:rsidR="005504B2" w:rsidRPr="00C70226">
        <w:rPr>
          <w:rFonts w:ascii="David" w:eastAsia="Calibri" w:hAnsi="David" w:hint="cs"/>
          <w:noProof w:val="0"/>
          <w:rtl/>
        </w:rPr>
        <w:t xml:space="preserve">אף אני סבורה כי </w:t>
      </w:r>
      <w:r w:rsidR="005504B2" w:rsidRPr="00C70226">
        <w:rPr>
          <w:rFonts w:ascii="David" w:eastAsia="Calibri" w:hAnsi="David"/>
          <w:noProof w:val="0"/>
          <w:rtl/>
        </w:rPr>
        <w:t>‏ "</w:t>
      </w:r>
      <w:r w:rsidR="005504B2" w:rsidRPr="00C70226">
        <w:rPr>
          <w:rFonts w:ascii="David" w:eastAsia="Calibri" w:hAnsi="David" w:hint="cs"/>
          <w:noProof w:val="0"/>
          <w:rtl/>
        </w:rPr>
        <w:t>...</w:t>
      </w:r>
      <w:r w:rsidR="005504B2" w:rsidRPr="00C70226">
        <w:rPr>
          <w:rFonts w:ascii="David" w:eastAsia="Calibri" w:hAnsi="David"/>
          <w:b/>
          <w:bCs/>
          <w:noProof w:val="0"/>
          <w:rtl/>
        </w:rPr>
        <w:t>כשלעצמי אין אני מוכנה לייחס למנוח חוסר תום לב, בהעדר אינדיקציות אחרות פרט לכך שנעשו צוואות הדדיות</w:t>
      </w:r>
      <w:r w:rsidR="005504B2" w:rsidRPr="00C70226">
        <w:rPr>
          <w:rFonts w:ascii="David" w:eastAsia="Calibri" w:hAnsi="David"/>
          <w:noProof w:val="0"/>
        </w:rPr>
        <w:t xml:space="preserve"> </w:t>
      </w:r>
      <w:r w:rsidR="005504B2" w:rsidRPr="00C70226">
        <w:rPr>
          <w:rFonts w:ascii="David" w:eastAsia="Calibri" w:hAnsi="David" w:hint="cs"/>
          <w:noProof w:val="0"/>
          <w:rtl/>
        </w:rPr>
        <w:t xml:space="preserve">". ראו: שם, בפסקה 16 </w:t>
      </w:r>
      <w:r w:rsidR="00C70226" w:rsidRPr="00C70226">
        <w:rPr>
          <w:rFonts w:ascii="David" w:eastAsia="Calibri" w:hAnsi="David" w:hint="cs"/>
          <w:noProof w:val="0"/>
          <w:rtl/>
        </w:rPr>
        <w:t>סיפה</w:t>
      </w:r>
      <w:r w:rsidR="005504B2" w:rsidRPr="00C70226">
        <w:rPr>
          <w:rFonts w:ascii="David" w:eastAsia="Calibri" w:hAnsi="David" w:hint="cs"/>
          <w:noProof w:val="0"/>
          <w:rtl/>
        </w:rPr>
        <w:t xml:space="preserve"> לפסק דינה.</w:t>
      </w:r>
    </w:p>
    <w:p w:rsidR="00073200" w:rsidRDefault="00073200" w:rsidP="00073200">
      <w:pPr>
        <w:pStyle w:val="ae"/>
        <w:rPr>
          <w:rFonts w:ascii="David" w:eastAsia="Calibri" w:hAnsi="David"/>
          <w:noProof w:val="0"/>
          <w:highlight w:val="yellow"/>
          <w:rtl/>
        </w:rPr>
      </w:pPr>
    </w:p>
    <w:p w:rsidR="000A7E90" w:rsidRDefault="00430E31" w:rsidP="00C70226">
      <w:pPr>
        <w:spacing w:after="160" w:line="360" w:lineRule="auto"/>
        <w:contextualSpacing/>
        <w:jc w:val="both"/>
        <w:rPr>
          <w:rFonts w:ascii="David" w:eastAsia="Calibri" w:hAnsi="David"/>
          <w:noProof w:val="0"/>
        </w:rPr>
      </w:pPr>
      <w:r w:rsidRPr="000A7E90">
        <w:rPr>
          <w:rFonts w:ascii="David" w:eastAsia="Calibri" w:hAnsi="David" w:hint="cs"/>
          <w:b/>
          <w:bCs/>
          <w:noProof w:val="0"/>
          <w:rtl/>
        </w:rPr>
        <w:t>סיכום</w:t>
      </w:r>
    </w:p>
    <w:p w:rsidR="000A7E90" w:rsidRDefault="000A7E90" w:rsidP="000A7E90">
      <w:pPr>
        <w:spacing w:after="160" w:line="360" w:lineRule="auto"/>
        <w:ind w:left="425"/>
        <w:contextualSpacing/>
        <w:jc w:val="both"/>
        <w:rPr>
          <w:rFonts w:ascii="David" w:eastAsia="Calibri" w:hAnsi="David"/>
          <w:noProof w:val="0"/>
        </w:rPr>
      </w:pPr>
    </w:p>
    <w:p w:rsidR="00867283" w:rsidRDefault="00430E31" w:rsidP="00C70226">
      <w:pPr>
        <w:numPr>
          <w:ilvl w:val="0"/>
          <w:numId w:val="4"/>
        </w:numPr>
        <w:spacing w:after="160" w:line="360" w:lineRule="auto"/>
        <w:ind w:left="425" w:hanging="425"/>
        <w:contextualSpacing/>
        <w:jc w:val="both"/>
        <w:rPr>
          <w:rFonts w:ascii="David" w:eastAsia="Calibri" w:hAnsi="David"/>
          <w:noProof w:val="0"/>
        </w:rPr>
      </w:pPr>
      <w:r w:rsidRPr="000A7E90">
        <w:rPr>
          <w:rFonts w:ascii="David" w:eastAsia="Calibri" w:hAnsi="David" w:hint="cs"/>
          <w:noProof w:val="0"/>
          <w:rtl/>
        </w:rPr>
        <w:t>אשר על כן, לא מצאתי בצוואה ההדדית שערכו המנוחים בשנת 2005 כמקימה מניעות המגבילה את כוח</w:t>
      </w:r>
      <w:r w:rsidR="00C70226">
        <w:rPr>
          <w:rFonts w:ascii="David" w:eastAsia="Calibri" w:hAnsi="David" w:hint="cs"/>
          <w:noProof w:val="0"/>
          <w:rtl/>
        </w:rPr>
        <w:t>ה של המנוחה לערוך את צוואת 2015</w:t>
      </w:r>
      <w:r w:rsidRPr="000A7E90">
        <w:rPr>
          <w:rFonts w:ascii="David" w:eastAsia="Calibri" w:hAnsi="David" w:hint="cs"/>
          <w:noProof w:val="0"/>
          <w:rtl/>
        </w:rPr>
        <w:t xml:space="preserve">, והנני דוחה את הטענה המקדמית </w:t>
      </w:r>
      <w:r w:rsidR="00C70226">
        <w:rPr>
          <w:rFonts w:ascii="David" w:eastAsia="Calibri" w:hAnsi="David" w:hint="cs"/>
          <w:noProof w:val="0"/>
          <w:rtl/>
        </w:rPr>
        <w:t>לעניין זה</w:t>
      </w:r>
      <w:r w:rsidRPr="000A7E90">
        <w:rPr>
          <w:rFonts w:ascii="David" w:eastAsia="Calibri" w:hAnsi="David" w:hint="cs"/>
          <w:noProof w:val="0"/>
          <w:rtl/>
        </w:rPr>
        <w:t>.</w:t>
      </w:r>
    </w:p>
    <w:p w:rsidR="00867283" w:rsidRDefault="00867283" w:rsidP="00867283">
      <w:pPr>
        <w:spacing w:after="160" w:line="360" w:lineRule="auto"/>
        <w:ind w:left="425"/>
        <w:contextualSpacing/>
        <w:jc w:val="both"/>
        <w:rPr>
          <w:rFonts w:ascii="David" w:eastAsia="Calibri" w:hAnsi="David"/>
          <w:noProof w:val="0"/>
        </w:rPr>
      </w:pPr>
    </w:p>
    <w:p w:rsidR="000A7E90" w:rsidRPr="00867283" w:rsidRDefault="0052647C" w:rsidP="00867283">
      <w:pPr>
        <w:numPr>
          <w:ilvl w:val="0"/>
          <w:numId w:val="4"/>
        </w:numPr>
        <w:spacing w:after="160" w:line="360" w:lineRule="auto"/>
        <w:ind w:left="425" w:hanging="425"/>
        <w:contextualSpacing/>
        <w:jc w:val="both"/>
        <w:rPr>
          <w:rFonts w:ascii="David" w:eastAsia="Calibri" w:hAnsi="David"/>
          <w:noProof w:val="0"/>
        </w:rPr>
      </w:pPr>
      <w:r w:rsidRPr="00867283">
        <w:rPr>
          <w:rFonts w:ascii="David" w:eastAsia="Calibri" w:hAnsi="David" w:hint="cs"/>
          <w:noProof w:val="0"/>
          <w:rtl/>
        </w:rPr>
        <w:t xml:space="preserve">לנוכח </w:t>
      </w:r>
      <w:r w:rsidR="00430E31" w:rsidRPr="00867283">
        <w:rPr>
          <w:rFonts w:ascii="David" w:eastAsia="Calibri" w:hAnsi="David" w:hint="cs"/>
          <w:noProof w:val="0"/>
          <w:rtl/>
        </w:rPr>
        <w:t>מסקנתי האמורה</w:t>
      </w:r>
      <w:r w:rsidRPr="00867283">
        <w:rPr>
          <w:rFonts w:ascii="David" w:eastAsia="Calibri" w:hAnsi="David" w:hint="cs"/>
          <w:noProof w:val="0"/>
          <w:rtl/>
        </w:rPr>
        <w:t>, יש להמשיך ולדון בהתנגדות</w:t>
      </w:r>
      <w:r w:rsidR="00E403DA" w:rsidRPr="00867283">
        <w:rPr>
          <w:rFonts w:ascii="David" w:eastAsia="Calibri" w:hAnsi="David" w:hint="cs"/>
          <w:noProof w:val="0"/>
          <w:rtl/>
        </w:rPr>
        <w:t xml:space="preserve"> לצוואת 2015</w:t>
      </w:r>
      <w:r w:rsidRPr="00867283">
        <w:rPr>
          <w:rFonts w:ascii="David" w:eastAsia="Calibri" w:hAnsi="David" w:hint="cs"/>
          <w:noProof w:val="0"/>
          <w:rtl/>
        </w:rPr>
        <w:t xml:space="preserve">. </w:t>
      </w:r>
    </w:p>
    <w:p w:rsidR="00867283" w:rsidRDefault="00867283" w:rsidP="00867283">
      <w:pPr>
        <w:spacing w:after="160" w:line="360" w:lineRule="auto"/>
        <w:ind w:left="425"/>
        <w:contextualSpacing/>
        <w:jc w:val="both"/>
        <w:rPr>
          <w:rFonts w:ascii="David" w:eastAsia="Calibri" w:hAnsi="David"/>
          <w:noProof w:val="0"/>
        </w:rPr>
      </w:pPr>
    </w:p>
    <w:p w:rsidR="000A7E90" w:rsidRDefault="0052647C" w:rsidP="007F0236">
      <w:pPr>
        <w:numPr>
          <w:ilvl w:val="0"/>
          <w:numId w:val="4"/>
        </w:numPr>
        <w:spacing w:after="160" w:line="360" w:lineRule="auto"/>
        <w:ind w:left="425" w:hanging="425"/>
        <w:contextualSpacing/>
        <w:jc w:val="both"/>
        <w:rPr>
          <w:rFonts w:ascii="David" w:eastAsia="Calibri" w:hAnsi="David"/>
          <w:noProof w:val="0"/>
        </w:rPr>
      </w:pPr>
      <w:r w:rsidRPr="000A7E90">
        <w:rPr>
          <w:rFonts w:ascii="David" w:eastAsia="Calibri" w:hAnsi="David" w:hint="cs"/>
          <w:noProof w:val="0"/>
          <w:rtl/>
        </w:rPr>
        <w:t>בהינתן כי הוגשה לתיק זה מכבר חוות דעת בדבר כשירות המנוחה בעת עריכת צוואת 2015</w:t>
      </w:r>
      <w:r w:rsidR="00E403DA" w:rsidRPr="000A7E90">
        <w:rPr>
          <w:rFonts w:ascii="David" w:eastAsia="Calibri" w:hAnsi="David" w:hint="cs"/>
          <w:noProof w:val="0"/>
          <w:rtl/>
        </w:rPr>
        <w:t xml:space="preserve"> (חוו"ד של פרופ' נוי שהוגשה ביום 9.9.22)</w:t>
      </w:r>
      <w:r w:rsidRPr="000A7E90">
        <w:rPr>
          <w:rFonts w:ascii="David" w:eastAsia="Calibri" w:hAnsi="David" w:hint="cs"/>
          <w:noProof w:val="0"/>
          <w:rtl/>
        </w:rPr>
        <w:t xml:space="preserve">, </w:t>
      </w:r>
      <w:r w:rsidR="009E6600" w:rsidRPr="000A7E90">
        <w:rPr>
          <w:rFonts w:ascii="David" w:eastAsia="Calibri" w:hAnsi="David" w:hint="cs"/>
          <w:noProof w:val="0"/>
          <w:rtl/>
        </w:rPr>
        <w:t xml:space="preserve">ב"כ הצדדים מתבקשים לעיין מחדש ברשימות העדים שהוגשו מטעמם בשנת 2021 ולבחון את הנחיצות בהעדת כלל העדים שנתבקשו, שמרביתם נדרשו לעניין כשירות המנוחה,  לנוכח חוו"ד שהוגשה </w:t>
      </w:r>
      <w:r w:rsidR="007F0236">
        <w:rPr>
          <w:rFonts w:ascii="David" w:eastAsia="Calibri" w:hAnsi="David" w:hint="cs"/>
          <w:noProof w:val="0"/>
          <w:rtl/>
        </w:rPr>
        <w:t>ולנוכח ההחלטה המקדמית דנן</w:t>
      </w:r>
      <w:r w:rsidR="009E6600" w:rsidRPr="000A7E90">
        <w:rPr>
          <w:rFonts w:ascii="David" w:eastAsia="Calibri" w:hAnsi="David" w:hint="cs"/>
          <w:noProof w:val="0"/>
          <w:rtl/>
        </w:rPr>
        <w:t>.</w:t>
      </w:r>
    </w:p>
    <w:p w:rsidR="00867283" w:rsidRDefault="00867283" w:rsidP="00867283">
      <w:pPr>
        <w:spacing w:after="160" w:line="360" w:lineRule="auto"/>
        <w:ind w:left="425"/>
        <w:contextualSpacing/>
        <w:jc w:val="both"/>
        <w:rPr>
          <w:rFonts w:ascii="David" w:eastAsia="Calibri" w:hAnsi="David"/>
          <w:noProof w:val="0"/>
        </w:rPr>
      </w:pPr>
    </w:p>
    <w:p w:rsidR="000A7E90" w:rsidRDefault="007F0236" w:rsidP="007F0236">
      <w:pPr>
        <w:numPr>
          <w:ilvl w:val="0"/>
          <w:numId w:val="4"/>
        </w:numPr>
        <w:spacing w:after="160" w:line="360" w:lineRule="auto"/>
        <w:ind w:left="425" w:hanging="425"/>
        <w:contextualSpacing/>
        <w:jc w:val="both"/>
        <w:rPr>
          <w:rFonts w:ascii="David" w:eastAsia="Calibri" w:hAnsi="David"/>
          <w:noProof w:val="0"/>
        </w:rPr>
      </w:pPr>
      <w:r>
        <w:rPr>
          <w:rFonts w:ascii="David" w:eastAsia="Calibri" w:hAnsi="David" w:hint="cs"/>
          <w:noProof w:val="0"/>
          <w:rtl/>
        </w:rPr>
        <w:t xml:space="preserve">הצדדים יגישו תצהירי עדות ראשית: </w:t>
      </w:r>
      <w:r w:rsidR="009E6600" w:rsidRPr="000A7E90">
        <w:rPr>
          <w:rFonts w:ascii="David" w:eastAsia="Calibri" w:hAnsi="David" w:hint="cs"/>
          <w:noProof w:val="0"/>
          <w:rtl/>
        </w:rPr>
        <w:t xml:space="preserve">המתנגדים לצוואת 2015 </w:t>
      </w:r>
      <w:r w:rsidR="00EC7EC7" w:rsidRPr="000A7E90">
        <w:rPr>
          <w:rFonts w:ascii="David" w:eastAsia="Calibri" w:hAnsi="David" w:hint="cs"/>
          <w:noProof w:val="0"/>
          <w:rtl/>
        </w:rPr>
        <w:t>יגישו תצהירי</w:t>
      </w:r>
      <w:r w:rsidR="009E6600" w:rsidRPr="000A7E90">
        <w:rPr>
          <w:rFonts w:ascii="David" w:eastAsia="Calibri" w:hAnsi="David" w:hint="cs"/>
          <w:noProof w:val="0"/>
          <w:rtl/>
        </w:rPr>
        <w:t xml:space="preserve"> עדות ראשית</w:t>
      </w:r>
      <w:r w:rsidR="00C70226">
        <w:rPr>
          <w:rFonts w:ascii="David" w:eastAsia="Calibri" w:hAnsi="David" w:hint="cs"/>
          <w:noProof w:val="0"/>
          <w:rtl/>
        </w:rPr>
        <w:t xml:space="preserve"> של העדים מטעמם</w:t>
      </w:r>
      <w:r w:rsidR="00EC7EC7" w:rsidRPr="000A7E90">
        <w:rPr>
          <w:rFonts w:ascii="David" w:eastAsia="Calibri" w:hAnsi="David" w:hint="cs"/>
          <w:noProof w:val="0"/>
          <w:rtl/>
        </w:rPr>
        <w:t xml:space="preserve"> בתוך 30 יום</w:t>
      </w:r>
      <w:r w:rsidR="00C70226">
        <w:rPr>
          <w:rFonts w:ascii="David" w:eastAsia="Calibri" w:hAnsi="David" w:hint="cs"/>
          <w:noProof w:val="0"/>
          <w:rtl/>
        </w:rPr>
        <w:t xml:space="preserve">; </w:t>
      </w:r>
      <w:r w:rsidR="009E6600" w:rsidRPr="000A7E90">
        <w:rPr>
          <w:rFonts w:ascii="David" w:eastAsia="Calibri" w:hAnsi="David" w:hint="cs"/>
          <w:noProof w:val="0"/>
          <w:rtl/>
        </w:rPr>
        <w:t xml:space="preserve">מבקש קיום צוואת 2015 </w:t>
      </w:r>
      <w:r w:rsidR="00EC7EC7" w:rsidRPr="000A7E90">
        <w:rPr>
          <w:rFonts w:ascii="David" w:eastAsia="Calibri" w:hAnsi="David" w:hint="cs"/>
          <w:noProof w:val="0"/>
          <w:rtl/>
        </w:rPr>
        <w:t>יגיש תצהירי</w:t>
      </w:r>
      <w:r w:rsidR="00C70226">
        <w:rPr>
          <w:rFonts w:ascii="David" w:eastAsia="Calibri" w:hAnsi="David" w:hint="cs"/>
          <w:noProof w:val="0"/>
          <w:rtl/>
        </w:rPr>
        <w:t xml:space="preserve"> עדות ראשית של העדים מטעמו </w:t>
      </w:r>
      <w:r w:rsidR="00EC7EC7" w:rsidRPr="000A7E90">
        <w:rPr>
          <w:rFonts w:ascii="David" w:eastAsia="Calibri" w:hAnsi="David" w:hint="cs"/>
          <w:noProof w:val="0"/>
          <w:rtl/>
        </w:rPr>
        <w:t>30 יום לאחר מכן</w:t>
      </w:r>
      <w:r w:rsidR="00E403DA" w:rsidRPr="000A7E90">
        <w:rPr>
          <w:rFonts w:ascii="David" w:eastAsia="Calibri" w:hAnsi="David" w:hint="cs"/>
          <w:noProof w:val="0"/>
          <w:rtl/>
        </w:rPr>
        <w:t>; הצדדים יצרפו לתצהירים כל מסמך עליו מבקשים להסתמך בהליך זה.</w:t>
      </w:r>
    </w:p>
    <w:p w:rsidR="00867283" w:rsidRPr="00867283" w:rsidRDefault="00867283" w:rsidP="00867283">
      <w:pPr>
        <w:spacing w:after="160" w:line="360" w:lineRule="auto"/>
        <w:ind w:left="425"/>
        <w:contextualSpacing/>
        <w:jc w:val="both"/>
        <w:rPr>
          <w:rFonts w:ascii="David" w:eastAsia="Calibri" w:hAnsi="David"/>
          <w:noProof w:val="0"/>
        </w:rPr>
      </w:pPr>
    </w:p>
    <w:p w:rsidR="00867283" w:rsidRDefault="009E6600" w:rsidP="00867283">
      <w:pPr>
        <w:numPr>
          <w:ilvl w:val="0"/>
          <w:numId w:val="4"/>
        </w:numPr>
        <w:spacing w:after="160" w:line="360" w:lineRule="auto"/>
        <w:ind w:left="425" w:hanging="425"/>
        <w:contextualSpacing/>
        <w:jc w:val="both"/>
        <w:rPr>
          <w:rFonts w:ascii="David" w:eastAsia="Calibri" w:hAnsi="David"/>
          <w:noProof w:val="0"/>
        </w:rPr>
      </w:pPr>
      <w:r w:rsidRPr="000A7E90">
        <w:rPr>
          <w:rFonts w:ascii="David" w:hAnsi="David"/>
          <w:rtl/>
        </w:rPr>
        <w:lastRenderedPageBreak/>
        <w:t>היה ומי מהצדדים מבקש לזמן לעדות עד המסרב או שנמנע ממנו ליתן תצהיר עדות ראשית יגיש בקשה מתאימה בעת הגשת תצהיריו ויפרט מדוע העדות רלבנטית ומה עשה בכדי לקבל תצהיר מאותו העד.</w:t>
      </w:r>
    </w:p>
    <w:p w:rsidR="00867283" w:rsidRDefault="00867283" w:rsidP="00867283">
      <w:pPr>
        <w:pStyle w:val="ae"/>
        <w:rPr>
          <w:rFonts w:ascii="David" w:eastAsia="Calibri" w:hAnsi="David"/>
          <w:noProof w:val="0"/>
          <w:rtl/>
        </w:rPr>
      </w:pPr>
    </w:p>
    <w:p w:rsidR="000A7E90" w:rsidRPr="00867283" w:rsidRDefault="007F0236" w:rsidP="007F0236">
      <w:pPr>
        <w:numPr>
          <w:ilvl w:val="0"/>
          <w:numId w:val="4"/>
        </w:numPr>
        <w:spacing w:after="160" w:line="360" w:lineRule="auto"/>
        <w:ind w:left="425" w:hanging="425"/>
        <w:contextualSpacing/>
        <w:jc w:val="both"/>
        <w:rPr>
          <w:rFonts w:ascii="David" w:eastAsia="Calibri" w:hAnsi="David"/>
          <w:noProof w:val="0"/>
        </w:rPr>
      </w:pPr>
      <w:r>
        <w:rPr>
          <w:rFonts w:ascii="David" w:eastAsia="Calibri" w:hAnsi="David" w:hint="cs"/>
          <w:noProof w:val="0"/>
          <w:rtl/>
        </w:rPr>
        <w:t>בתוך 10 ימים</w:t>
      </w:r>
      <w:r w:rsidR="000A7E90" w:rsidRPr="00867283">
        <w:rPr>
          <w:rFonts w:ascii="David" w:eastAsia="Calibri" w:hAnsi="David" w:hint="cs"/>
          <w:noProof w:val="0"/>
          <w:rtl/>
        </w:rPr>
        <w:t xml:space="preserve"> יגישו</w:t>
      </w:r>
      <w:r w:rsidR="00EC7EC7" w:rsidRPr="00867283">
        <w:rPr>
          <w:rFonts w:ascii="David" w:eastAsia="Calibri" w:hAnsi="David" w:hint="cs"/>
          <w:noProof w:val="0"/>
          <w:rtl/>
        </w:rPr>
        <w:t xml:space="preserve"> </w:t>
      </w:r>
      <w:r w:rsidR="00E403DA" w:rsidRPr="00867283">
        <w:rPr>
          <w:rFonts w:ascii="David" w:eastAsia="Calibri" w:hAnsi="David" w:hint="cs"/>
          <w:noProof w:val="0"/>
          <w:rtl/>
        </w:rPr>
        <w:t xml:space="preserve">הצדדים </w:t>
      </w:r>
      <w:r w:rsidR="00E403DA" w:rsidRPr="00C70226">
        <w:rPr>
          <w:rFonts w:ascii="David" w:eastAsia="Calibri" w:hAnsi="David" w:hint="cs"/>
          <w:b/>
          <w:bCs/>
          <w:noProof w:val="0"/>
          <w:rtl/>
        </w:rPr>
        <w:t>רשימת מועדים מוסכמים</w:t>
      </w:r>
      <w:r w:rsidR="00E403DA" w:rsidRPr="00867283">
        <w:rPr>
          <w:rFonts w:ascii="David" w:eastAsia="Calibri" w:hAnsi="David" w:hint="cs"/>
          <w:noProof w:val="0"/>
          <w:rtl/>
        </w:rPr>
        <w:t xml:space="preserve"> לקיום קד"מ משלים</w:t>
      </w:r>
      <w:r>
        <w:rPr>
          <w:rFonts w:ascii="David" w:eastAsia="Calibri" w:hAnsi="David" w:hint="cs"/>
          <w:noProof w:val="0"/>
          <w:rtl/>
        </w:rPr>
        <w:t xml:space="preserve"> לאחר שיונחו לפני תצהירי </w:t>
      </w:r>
      <w:r w:rsidR="0092581E">
        <w:rPr>
          <w:rFonts w:ascii="David" w:eastAsia="Calibri" w:hAnsi="David" w:hint="cs"/>
          <w:noProof w:val="0"/>
          <w:rtl/>
        </w:rPr>
        <w:t>ה</w:t>
      </w:r>
      <w:r>
        <w:rPr>
          <w:rFonts w:ascii="David" w:eastAsia="Calibri" w:hAnsi="David" w:hint="cs"/>
          <w:noProof w:val="0"/>
          <w:rtl/>
        </w:rPr>
        <w:t>ע</w:t>
      </w:r>
      <w:r w:rsidR="00115C23">
        <w:rPr>
          <w:rFonts w:ascii="David" w:eastAsia="Calibri" w:hAnsi="David" w:hint="cs"/>
          <w:noProof w:val="0"/>
          <w:rtl/>
        </w:rPr>
        <w:t xml:space="preserve">דות </w:t>
      </w:r>
      <w:r w:rsidR="0092581E">
        <w:rPr>
          <w:rFonts w:ascii="David" w:eastAsia="Calibri" w:hAnsi="David" w:hint="cs"/>
          <w:noProof w:val="0"/>
          <w:rtl/>
        </w:rPr>
        <w:t>ה</w:t>
      </w:r>
      <w:r w:rsidR="00115C23">
        <w:rPr>
          <w:rFonts w:ascii="David" w:eastAsia="Calibri" w:hAnsi="David" w:hint="cs"/>
          <w:noProof w:val="0"/>
          <w:rtl/>
        </w:rPr>
        <w:t>ראשית</w:t>
      </w:r>
      <w:r w:rsidR="00E403DA" w:rsidRPr="00867283">
        <w:rPr>
          <w:rFonts w:ascii="David" w:eastAsia="Calibri" w:hAnsi="David" w:hint="cs"/>
          <w:noProof w:val="0"/>
          <w:rtl/>
        </w:rPr>
        <w:t>.</w:t>
      </w:r>
      <w:r w:rsidR="00EC7EC7" w:rsidRPr="00867283">
        <w:rPr>
          <w:rFonts w:ascii="David" w:eastAsia="Calibri" w:hAnsi="David" w:hint="cs"/>
          <w:noProof w:val="0"/>
          <w:rtl/>
        </w:rPr>
        <w:t xml:space="preserve"> </w:t>
      </w:r>
    </w:p>
    <w:p w:rsidR="000A7E90" w:rsidRDefault="000A7E90" w:rsidP="000A7E90">
      <w:pPr>
        <w:pStyle w:val="ae"/>
        <w:rPr>
          <w:rFonts w:ascii="David" w:eastAsia="Calibri" w:hAnsi="David"/>
          <w:noProof w:val="0"/>
          <w:rtl/>
        </w:rPr>
      </w:pPr>
    </w:p>
    <w:p w:rsidR="000A7E90" w:rsidRDefault="00134509" w:rsidP="000A7E90">
      <w:pPr>
        <w:numPr>
          <w:ilvl w:val="0"/>
          <w:numId w:val="4"/>
        </w:numPr>
        <w:spacing w:after="160" w:line="360" w:lineRule="auto"/>
        <w:ind w:left="425" w:hanging="425"/>
        <w:contextualSpacing/>
        <w:jc w:val="both"/>
        <w:rPr>
          <w:rFonts w:ascii="David" w:eastAsia="Calibri" w:hAnsi="David"/>
          <w:noProof w:val="0"/>
        </w:rPr>
      </w:pPr>
      <w:r w:rsidRPr="000A7E90">
        <w:rPr>
          <w:rFonts w:ascii="David" w:eastAsia="Calibri" w:hAnsi="David" w:hint="cs"/>
          <w:noProof w:val="0"/>
          <w:rtl/>
        </w:rPr>
        <w:t>סוגיית הוצאות המשפט תישקל במסגרת פסק הדין.</w:t>
      </w:r>
    </w:p>
    <w:p w:rsidR="000A7E90" w:rsidRDefault="000A7E90" w:rsidP="000A7E90">
      <w:pPr>
        <w:pStyle w:val="ae"/>
        <w:rPr>
          <w:rFonts w:ascii="David" w:eastAsia="Calibri" w:hAnsi="David"/>
          <w:b/>
          <w:bCs/>
          <w:noProof w:val="0"/>
          <w:rtl/>
        </w:rPr>
      </w:pPr>
    </w:p>
    <w:p w:rsidR="00D944EC" w:rsidRPr="000A7E90" w:rsidRDefault="000022F8" w:rsidP="000A7E90">
      <w:pPr>
        <w:numPr>
          <w:ilvl w:val="0"/>
          <w:numId w:val="4"/>
        </w:numPr>
        <w:spacing w:after="160" w:line="360" w:lineRule="auto"/>
        <w:ind w:left="425" w:hanging="425"/>
        <w:contextualSpacing/>
        <w:jc w:val="both"/>
        <w:rPr>
          <w:rFonts w:ascii="David" w:eastAsia="Calibri" w:hAnsi="David"/>
          <w:noProof w:val="0"/>
          <w:rtl/>
        </w:rPr>
      </w:pPr>
      <w:r w:rsidRPr="000022F8">
        <w:rPr>
          <w:rFonts w:ascii="David" w:hAnsi="David"/>
          <w:b/>
          <w:bCs/>
          <w:rtl/>
        </w:rPr>
        <w:t>ההחלטה הותרה לפרסום לאחר השמטת פרטים מזהים</w:t>
      </w:r>
      <w:r w:rsidR="0052647C" w:rsidRPr="000A7E90">
        <w:rPr>
          <w:rFonts w:ascii="David" w:eastAsia="Calibri" w:hAnsi="David"/>
          <w:b/>
          <w:bCs/>
          <w:noProof w:val="0"/>
          <w:rtl/>
        </w:rPr>
        <w:t>.</w:t>
      </w:r>
      <w:r w:rsidR="00D944EC" w:rsidRPr="000A7E90">
        <w:rPr>
          <w:rFonts w:ascii="David" w:eastAsia="Calibri" w:hAnsi="David" w:hint="cs"/>
          <w:b/>
          <w:bCs/>
          <w:noProof w:val="0"/>
          <w:highlight w:val="green"/>
          <w:rtl/>
        </w:rPr>
        <w:t xml:space="preserve"> </w:t>
      </w:r>
    </w:p>
    <w:p w:rsidR="00E34603" w:rsidRPr="00E34603" w:rsidRDefault="00E34603" w:rsidP="0099713C">
      <w:pPr>
        <w:spacing w:after="160" w:line="256" w:lineRule="auto"/>
        <w:ind w:left="425" w:hanging="567"/>
        <w:rPr>
          <w:rFonts w:ascii="David" w:eastAsia="Calibri" w:hAnsi="David"/>
          <w:noProof w:val="0"/>
        </w:rPr>
      </w:pPr>
    </w:p>
    <w:p w:rsidR="002914D6" w:rsidRDefault="0055197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550738450"/>
          <w:text w:multiLine="1"/>
        </w:sdtPr>
        <w:sdtEndPr/>
        <w:sdtContent>
          <w:r>
            <w:rPr>
              <w:rFonts w:ascii="Arial" w:hAnsi="Arial"/>
              <w:noProof w:val="0"/>
              <w:rtl/>
            </w:rPr>
            <w:t>ז' תשרי תשפ"ה</w:t>
          </w:r>
        </w:sdtContent>
      </w:sdt>
      <w:r w:rsidR="00011212">
        <w:rPr>
          <w:rFonts w:ascii="Arial" w:hAnsi="Arial"/>
          <w:noProof w:val="0"/>
          <w:rtl/>
        </w:rPr>
        <w:t xml:space="preserve">, </w:t>
      </w:r>
      <w:sdt>
        <w:sdtPr>
          <w:rPr>
            <w:rtl/>
          </w:rPr>
          <w:alias w:val="1456"/>
          <w:tag w:val="1456"/>
          <w:id w:val="213085585"/>
          <w:text w:multiLine="1"/>
        </w:sdtPr>
        <w:sdtEndPr/>
        <w:sdtContent>
          <w:r>
            <w:rPr>
              <w:rFonts w:ascii="Arial" w:hAnsi="Arial"/>
              <w:noProof w:val="0"/>
              <w:rtl/>
            </w:rPr>
            <w:t>09 אוקטובר 2024</w:t>
          </w:r>
        </w:sdtContent>
      </w:sdt>
      <w:r w:rsidR="00011212">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21467" w:rsidP="00521467">
      <w:pPr>
        <w:spacing w:line="360" w:lineRule="auto"/>
        <w:jc w:val="center"/>
      </w:pPr>
      <w:r>
        <w:rPr>
          <w:rtl/>
        </w:rPr>
        <w:tab/>
      </w:r>
      <w:r>
        <w:rPr>
          <w:rtl/>
        </w:rPr>
        <w:tab/>
      </w:r>
      <w:r>
        <w:rPr>
          <w:rtl/>
        </w:rPr>
        <w:tab/>
      </w:r>
      <w:sdt>
        <w:sdtPr>
          <w:rPr>
            <w:rtl/>
          </w:rPr>
          <w:alias w:val="MergeField"/>
          <w:tag w:val="1237"/>
          <w:id w:val="685794093"/>
        </w:sdtPr>
        <w:sdtEndPr/>
        <w:sdtContent>
          <w:r w:rsidR="000022F8">
            <w:drawing>
              <wp:inline distT="0" distB="0" distL="0" distR="0" wp14:editId="50D07946">
                <wp:extent cx="1162050" cy="1247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162050" cy="1247775"/>
                        </a:xfrm>
                        <a:prstGeom prst="rect">
                          <a:avLst/>
                        </a:prstGeom>
                      </pic:spPr>
                    </pic:pic>
                  </a:graphicData>
                </a:graphic>
              </wp:inline>
            </w:drawing>
          </w:r>
        </w:sdtContent>
      </w:sdt>
    </w:p>
    <w:p w:rsidR="002914D6" w:rsidRDefault="002914D6" w:rsidP="00521467">
      <w:pPr>
        <w:spacing w:line="360" w:lineRule="auto"/>
        <w:jc w:val="center"/>
        <w:rPr>
          <w:rFonts w:ascii="Arial" w:hAnsi="Arial"/>
          <w:noProof w:val="0"/>
          <w:rtl/>
        </w:rPr>
      </w:pPr>
    </w:p>
    <w:sectPr w:rsidR="002914D6" w:rsidSect="00AB0AD0">
      <w:headerReference w:type="even" r:id="rId15"/>
      <w:headerReference w:type="default" r:id="rId16"/>
      <w:footerReference w:type="even" r:id="rId17"/>
      <w:footerReference w:type="default" r:id="rId18"/>
      <w:headerReference w:type="first" r:id="rId19"/>
      <w:footerReference w:type="first" r:id="rId20"/>
      <w:pgSz w:w="11907" w:h="16840" w:code="9"/>
      <w:pgMar w:top="720" w:right="1559"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55A" w:rsidRDefault="0038555A">
      <w:r>
        <w:separator/>
      </w:r>
    </w:p>
  </w:endnote>
  <w:endnote w:type="continuationSeparator" w:id="0">
    <w:p w:rsidR="0038555A" w:rsidRDefault="00385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435" w:rsidRDefault="004F643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5"/>
      <w:jc w:val="center"/>
      <w:rPr>
        <w:rStyle w:val="ac"/>
      </w:rPr>
    </w:pPr>
    <w:r>
      <w:rPr>
        <w:rStyle w:val="ac"/>
      </w:rPr>
      <w:fldChar w:fldCharType="begin"/>
    </w:r>
    <w:r w:rsidR="00011212">
      <w:rPr>
        <w:rStyle w:val="ac"/>
      </w:rPr>
      <w:instrText xml:space="preserve"> PAGE </w:instrText>
    </w:r>
    <w:r>
      <w:rPr>
        <w:rStyle w:val="ac"/>
      </w:rPr>
      <w:fldChar w:fldCharType="separate"/>
    </w:r>
    <w:r w:rsidR="004F6435">
      <w:rPr>
        <w:rStyle w:val="ac"/>
        <w:rtl/>
      </w:rPr>
      <w:t>1</w:t>
    </w:r>
    <w:r>
      <w:rPr>
        <w:rStyle w:val="ac"/>
      </w:rPr>
      <w:fldChar w:fldCharType="end"/>
    </w:r>
    <w:r w:rsidR="00011212">
      <w:rPr>
        <w:rStyle w:val="ac"/>
        <w:rFonts w:hint="cs"/>
        <w:rtl/>
      </w:rPr>
      <w:t xml:space="preserve"> מתוך </w:t>
    </w:r>
    <w:r>
      <w:rPr>
        <w:rStyle w:val="ac"/>
      </w:rPr>
      <w:fldChar w:fldCharType="begin"/>
    </w:r>
    <w:r w:rsidR="00011212">
      <w:rPr>
        <w:rStyle w:val="ac"/>
      </w:rPr>
      <w:instrText xml:space="preserve"> NUMPAGES </w:instrText>
    </w:r>
    <w:r>
      <w:rPr>
        <w:rStyle w:val="ac"/>
      </w:rPr>
      <w:fldChar w:fldCharType="separate"/>
    </w:r>
    <w:r w:rsidR="004F6435">
      <w:rPr>
        <w:rStyle w:val="ac"/>
        <w:rtl/>
      </w:rPr>
      <w:t>30</w:t>
    </w:r>
    <w:r>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435" w:rsidRDefault="004F643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55A" w:rsidRDefault="0038555A">
      <w:r>
        <w:separator/>
      </w:r>
    </w:p>
  </w:footnote>
  <w:footnote w:type="continuationSeparator" w:id="0">
    <w:p w:rsidR="0038555A" w:rsidRDefault="00385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435" w:rsidRDefault="004F643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99"/>
      <w:gridCol w:w="3648"/>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09 אוקטובר 2024</w:t>
              </w:r>
            </w:p>
          </w:tc>
        </w:sdtContent>
      </w:sdt>
    </w:tr>
    <w:tr w:rsidR="002914D6">
      <w:trPr>
        <w:trHeight w:val="337"/>
        <w:jc w:val="center"/>
      </w:trPr>
      <w:tc>
        <w:tcPr>
          <w:tcW w:w="8721" w:type="dxa"/>
          <w:gridSpan w:val="2"/>
        </w:tcPr>
        <w:p w:rsidR="002914D6" w:rsidRDefault="0038555A" w:rsidP="00A13102">
          <w:pPr>
            <w:rPr>
              <w:b/>
              <w:bCs/>
              <w:noProof w:val="0"/>
              <w:sz w:val="26"/>
              <w:szCs w:val="26"/>
              <w:rtl/>
            </w:rPr>
          </w:pPr>
          <w:sdt>
            <w:sdtPr>
              <w:rPr>
                <w:rtl/>
              </w:rPr>
              <w:alias w:val="1170"/>
              <w:tag w:val="1170"/>
              <w:id w:val="-1240940633"/>
              <w:text w:multiLine="1"/>
            </w:sdtPr>
            <w:sdtEndPr/>
            <w:sdtContent>
              <w:r w:rsidR="00521467">
                <w:rPr>
                  <w:b/>
                  <w:bCs/>
                  <w:noProof w:val="0"/>
                  <w:sz w:val="26"/>
                  <w:szCs w:val="26"/>
                  <w:rtl/>
                </w:rPr>
                <w:t>ת"ע</w:t>
              </w:r>
            </w:sdtContent>
          </w:sdt>
          <w:r w:rsidR="00011212">
            <w:rPr>
              <w:b/>
              <w:bCs/>
              <w:noProof w:val="0"/>
              <w:sz w:val="26"/>
              <w:szCs w:val="26"/>
              <w:rtl/>
            </w:rPr>
            <w:t xml:space="preserve"> </w:t>
          </w:r>
          <w:bookmarkStart w:id="0" w:name="_GoBack"/>
          <w:sdt>
            <w:sdtPr>
              <w:rPr>
                <w:rtl/>
              </w:rPr>
              <w:alias w:val="1171"/>
              <w:tag w:val="1171"/>
              <w:id w:val="-1122917173"/>
              <w:text w:multiLine="1"/>
            </w:sdtPr>
            <w:sdtEndPr/>
            <w:sdtContent>
              <w:r w:rsidR="00521467">
                <w:rPr>
                  <w:b/>
                  <w:bCs/>
                  <w:noProof w:val="0"/>
                  <w:sz w:val="26"/>
                  <w:szCs w:val="26"/>
                  <w:rtl/>
                </w:rPr>
                <w:t>38653-08-20</w:t>
              </w:r>
            </w:sdtContent>
          </w:sdt>
          <w:bookmarkEnd w:id="0"/>
          <w:r w:rsidR="00011212">
            <w:rPr>
              <w:b/>
              <w:bCs/>
              <w:noProof w:val="0"/>
              <w:sz w:val="26"/>
              <w:szCs w:val="26"/>
              <w:rtl/>
            </w:rPr>
            <w:t xml:space="preserve"> </w:t>
          </w:r>
          <w:sdt>
            <w:sdtPr>
              <w:rPr>
                <w:rtl/>
              </w:rPr>
              <w:alias w:val="1172"/>
              <w:tag w:val="1172"/>
              <w:id w:val="1658414112"/>
              <w:text w:multiLine="1"/>
            </w:sdtPr>
            <w:sdtEndPr/>
            <w:sdtContent>
              <w:r w:rsidR="00A13102">
                <w:rPr>
                  <w:rFonts w:hint="cs"/>
                  <w:b/>
                  <w:bCs/>
                  <w:noProof w:val="0"/>
                  <w:sz w:val="26"/>
                  <w:szCs w:val="26"/>
                  <w:rtl/>
                </w:rPr>
                <w:t>מ'</w:t>
              </w:r>
              <w:r w:rsidR="00521467">
                <w:rPr>
                  <w:b/>
                  <w:bCs/>
                  <w:noProof w:val="0"/>
                  <w:sz w:val="26"/>
                  <w:szCs w:val="26"/>
                  <w:rtl/>
                </w:rPr>
                <w:t xml:space="preserve"> ואח' נ' האפוטרופוס הכללי במחוז ירושלים ואח'</w:t>
              </w:r>
            </w:sdtContent>
          </w:sdt>
        </w:p>
        <w:p w:rsidR="002914D6" w:rsidRDefault="002914D6">
          <w:pPr>
            <w:rPr>
              <w:rtl/>
            </w:rPr>
          </w:pPr>
        </w:p>
        <w:p w:rsidR="005515FC" w:rsidRDefault="005515FC">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435" w:rsidRDefault="004F643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557F0"/>
    <w:multiLevelType w:val="hybridMultilevel"/>
    <w:tmpl w:val="BA26F020"/>
    <w:lvl w:ilvl="0" w:tplc="65503498">
      <w:start w:val="5"/>
      <w:numFmt w:val="decimal"/>
      <w:lvlText w:val="%1."/>
      <w:lvlJc w:val="left"/>
      <w:pPr>
        <w:ind w:left="785" w:hanging="360"/>
      </w:pPr>
      <w:rPr>
        <w:lang w:bidi="he-IL"/>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9617EB2"/>
    <w:multiLevelType w:val="hybridMultilevel"/>
    <w:tmpl w:val="7660A648"/>
    <w:lvl w:ilvl="0" w:tplc="65503498">
      <w:start w:val="5"/>
      <w:numFmt w:val="decimal"/>
      <w:lvlText w:val="%1."/>
      <w:lvlJc w:val="left"/>
      <w:pPr>
        <w:ind w:left="1080" w:hanging="360"/>
      </w:pPr>
      <w:rPr>
        <w:lang w:bidi="he-IL"/>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182029EA"/>
    <w:multiLevelType w:val="hybridMultilevel"/>
    <w:tmpl w:val="84C61F4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960A8B"/>
    <w:multiLevelType w:val="hybridMultilevel"/>
    <w:tmpl w:val="BF9677BC"/>
    <w:lvl w:ilvl="0" w:tplc="D6A89A16">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C57D8E"/>
    <w:multiLevelType w:val="hybridMultilevel"/>
    <w:tmpl w:val="172C46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7001744"/>
    <w:multiLevelType w:val="hybridMultilevel"/>
    <w:tmpl w:val="64DA53CA"/>
    <w:lvl w:ilvl="0" w:tplc="C4EACA02">
      <w:start w:val="1"/>
      <w:numFmt w:val="decimal"/>
      <w:lvlText w:val="%1."/>
      <w:lvlJc w:val="left"/>
      <w:pPr>
        <w:ind w:left="720" w:hanging="360"/>
      </w:pPr>
      <w:rPr>
        <w:rFonts w:ascii="David" w:hAnsi="David" w:cs="David" w:hint="default"/>
        <w:b w:val="0"/>
        <w:bCs w:val="0"/>
        <w:color w:val="auto"/>
        <w:sz w:val="24"/>
        <w:szCs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4FDA126A"/>
    <w:multiLevelType w:val="hybridMultilevel"/>
    <w:tmpl w:val="27D0BC30"/>
    <w:lvl w:ilvl="0" w:tplc="D166D154">
      <w:start w:val="1"/>
      <w:numFmt w:val="decimal"/>
      <w:lvlText w:val="%1."/>
      <w:lvlJc w:val="left"/>
      <w:pPr>
        <w:ind w:left="720" w:hanging="360"/>
      </w:pPr>
      <w:rPr>
        <w:rFonts w:ascii="Arial" w:hAnsi="Arial"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F61B20"/>
    <w:multiLevelType w:val="hybridMultilevel"/>
    <w:tmpl w:val="A06E1860"/>
    <w:lvl w:ilvl="0" w:tplc="65503498">
      <w:start w:val="5"/>
      <w:numFmt w:val="decimal"/>
      <w:lvlText w:val="%1."/>
      <w:lvlJc w:val="left"/>
      <w:pPr>
        <w:ind w:left="785" w:hanging="360"/>
      </w:pPr>
      <w:rPr>
        <w:lang w:bidi="he-IL"/>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66E812C2"/>
    <w:multiLevelType w:val="hybridMultilevel"/>
    <w:tmpl w:val="BA26F020"/>
    <w:lvl w:ilvl="0" w:tplc="65503498">
      <w:start w:val="5"/>
      <w:numFmt w:val="decimal"/>
      <w:lvlText w:val="%1."/>
      <w:lvlJc w:val="left"/>
      <w:pPr>
        <w:ind w:left="785" w:hanging="360"/>
      </w:pPr>
      <w:rPr>
        <w:lang w:bidi="he-IL"/>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69647A16"/>
    <w:multiLevelType w:val="hybridMultilevel"/>
    <w:tmpl w:val="FC608C42"/>
    <w:lvl w:ilvl="0" w:tplc="2B4A0E68">
      <w:start w:val="5"/>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6"/>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0"/>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64967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649678&amp;lt;/CaseID&amp;gt;_x000d__x000a_        &amp;lt;CaseMonth&amp;gt;8&amp;lt;/CaseMonth&amp;gt;_x000d__x000a_        &amp;lt;CaseYear&amp;gt;2020&amp;lt;/CaseYear&amp;gt;_x000d__x000a_        &amp;lt;CaseNumber&amp;gt;38653&amp;lt;/CaseNumber&amp;gt;_x000d__x000a_        &amp;lt;NumeratorGroupID&amp;gt;1&amp;lt;/NumeratorGroupID&amp;gt;_x000d__x000a_        &amp;lt;CaseName&amp;gt;מאגרפטה ואח&amp;#39; נ&amp;#39; האפוטרופוס הכללי במחוז ירושלים ואח&amp;#39;&amp;lt;/CaseName&amp;gt;_x000d__x000a_        &amp;lt;CourtID&amp;gt;30&amp;lt;/CourtID&amp;gt;_x000d__x000a_        &amp;lt;CaseTypeID&amp;gt;86&amp;lt;/CaseTypeID&amp;gt;_x000d__x000a_        &amp;lt;CaseInterestID&amp;gt;161&amp;lt;/CaseInterestID&amp;gt;_x000d__x000a_        &amp;lt;CaseJudgeName&amp;gt;הילה גלבוע&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8653-08-20&amp;lt;/CaseDisplayIdentifier&amp;gt;_x000d__x000a_        &amp;lt;CaseTypeDesc&amp;gt;ת&amp;quot;ע&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0-08-18T12:00: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הילה&amp;lt;/CaseJudgeFirstName&amp;gt;_x000d__x000a_        &amp;lt;CaseJudgeLastName&amp;gt;גלבוע&amp;lt;/CaseJudgeLastName&amp;gt;_x000d__x000a_        &amp;lt;JudicalPersonID&amp;gt;033663675@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649678&amp;lt;/CaseID&amp;gt;_x000d__x000a_        &amp;lt;CaseMonth&amp;gt;8&amp;lt;/CaseMonth&amp;gt;_x000d__x000a_        &amp;lt;CaseYear&amp;gt;2020&amp;lt;/CaseYear&amp;gt;_x000d__x000a_        &amp;lt;CaseNumber&amp;gt;38653&amp;lt;/CaseNumber&amp;gt;_x000d__x000a_        &amp;lt;NumeratorGroupID&amp;gt;1&amp;lt;/NumeratorGroupID&amp;gt;_x000d__x000a_        &amp;lt;CaseName&amp;gt;מאגרפטה ואח&amp;#39; נ&amp;#39; האפוטרופוס הכללי במחוז ירושלים ואח&amp;#39;&amp;lt;/CaseName&amp;gt;_x000d__x000a_        &amp;lt;CourtID&amp;gt;30&amp;lt;/CourtID&amp;gt;_x000d__x000a_        &amp;lt;CaseTypeID&amp;gt;86&amp;lt;/CaseTypeID&amp;gt;_x000d__x000a_        &amp;lt;CaseInterestID&amp;gt;161&amp;lt;/CaseInterestID&amp;gt;_x000d__x000a_        &amp;lt;CaseJudgeName&amp;gt;הילה גלבוע&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8653-08-20&amp;lt;/CaseDisplayIdentifier&amp;gt;_x000d__x000a_        &amp;lt;CaseTypeDesc&amp;gt;ת&amp;quot;ע&amp;lt;/CaseTypeDesc&amp;gt;_x000d__x000a_        &amp;lt;CourtDesc&amp;gt;שלום ירושלים&amp;lt;/CourtDesc&amp;gt;_x000d__x000a_        &amp;lt;CaseStageDesc&amp;gt;תיק אלקטרוני&amp;lt;/CaseStageDesc&amp;gt;_x000d__x000a_        &amp;lt;CaseNextDeterminingTask&amp;gt;141&amp;lt;/CaseNextDeterminingTask&amp;gt;_x000d__x000a_        &amp;lt;CaseOpenDate&amp;gt;2020-08-18T12:00: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הילה&amp;lt;/CaseJudgeFirstName&amp;gt;_x000d__x000a_        &amp;lt;CaseJudgeLastName&amp;gt;גלבוע&amp;lt;/CaseJudgeLastName&amp;gt;_x000d__x000a_        &amp;lt;JudicalPersonID&amp;gt;033663675@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887894&amp;lt;/DecisionID&amp;gt;_x000d__x000a_        &amp;lt;DecisionName&amp;gt;פסק דין  שניתנה ע&amp;quot;י  הילה גלבוע&amp;lt;/DecisionName&amp;gt;_x000d__x000a_        &amp;lt;DecisionStatusID&amp;gt;1&amp;lt;/DecisionStatusID&amp;gt;_x000d__x000a_        &amp;lt;DecisionStatusChangeDate&amp;gt;2024-10-09T17:35:41.027+03:00&amp;lt;/DecisionStatusChangeDate&amp;gt;_x000d__x000a_        &amp;lt;DecisionSignatureDate&amp;gt;2024-09-15T07:57:44.737+03:00&amp;lt;/DecisionSignatureDate&amp;gt;_x000d__x000a_        &amp;lt;DecisionSignatureUserID&amp;gt;033663675@GOV.IL&amp;lt;/DecisionSignatureUserID&amp;gt;_x000d__x000a_        &amp;lt;DecisionCreateDate&amp;gt;2024-09-15T07:57:47.417+03:00&amp;lt;/DecisionCreateDate&amp;gt;_x000d__x000a_        &amp;lt;DecisionChangeDate&amp;gt;2024-10-09T17:35:41.11+03:00&amp;lt;/DecisionChangeDate&amp;gt;_x000d__x000a_        &amp;lt;DecisionChangeUserID&amp;gt;03366367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509271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6636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062416@GOV.IL&amp;lt;/DecisionCreationUserID&amp;gt;_x000d__x000a_        &amp;lt;DecisionDisplayName&amp;gt;פסק דין  שניתנה ע&amp;quot;י  הילה גלבוע&amp;lt;/DecisionDisplayName&amp;gt;_x000d__x000a_        &amp;lt;IsScanned&amp;gt;false&amp;lt;/IsScanned&amp;gt;_x000d__x000a_        &amp;lt;DecisionSignatureUserName&amp;gt;הילה גלבוע&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4&amp;lt;/DecisionNumberInCase&amp;gt;_x000d__x000a_      &amp;lt;/dt_Decision&amp;gt;_x000d__x000a_      &amp;lt;dt_DecisionCase diffgr:id=&amp;quot;dt_DecisionCase1&amp;quot; msdata:rowOrder=&amp;quot;0&amp;quot;&amp;gt;_x000d__x000a_        &amp;lt;DecisionID&amp;gt;154887894&amp;lt;/DecisionID&amp;gt;_x000d__x000a_        &amp;lt;CaseID&amp;gt;77649678&amp;lt;/CaseID&amp;gt;_x000d__x000a_        &amp;lt;IsOriginal&amp;gt;true&amp;lt;/IsOriginal&amp;gt;_x000d__x000a_        &amp;lt;IsDeleted&amp;gt;false&amp;lt;/IsDeleted&amp;gt;_x000d__x000a_        &amp;lt;CaseName&amp;gt;מאגרפטה ואח&amp;#39; נ&amp;#39; האפוטרופוס הכללי במחוז ירושלים ואח&amp;#39;&amp;lt;/CaseName&amp;gt;_x000d__x000a_        &amp;lt;CaseDisplayIdentifier&amp;gt;38653-08-20 ת&amp;quot;ע&amp;lt;/CaseDisplayIdentifier&amp;gt;_x000d__x000a_      &amp;lt;/dt_DecisionCase&amp;gt;_x000d__x000a_    &amp;lt;/DecisionDS&amp;gt;_x000d__x000a_  &amp;lt;/diffgr:diffgram&amp;gt;_x000d__x000a_&amp;lt;/DecisionDS&amp;gt;"/>
    <w:docVar w:name="DecisionID" w:val="154887894"/>
    <w:docVar w:name="WordClientAssemblyName" w:val="NGCS.Decision.ClientWordBL"/>
    <w:docVar w:name="WordClientClassName" w:val="NGCS.Decision.ClientWordBL.DecisionClient"/>
  </w:docVars>
  <w:rsids>
    <w:rsidRoot w:val="002914D6"/>
    <w:rsid w:val="000022F8"/>
    <w:rsid w:val="00011212"/>
    <w:rsid w:val="00027B65"/>
    <w:rsid w:val="000301AB"/>
    <w:rsid w:val="00035F81"/>
    <w:rsid w:val="00036B6C"/>
    <w:rsid w:val="0004242B"/>
    <w:rsid w:val="0006084C"/>
    <w:rsid w:val="00073200"/>
    <w:rsid w:val="00077190"/>
    <w:rsid w:val="00082F35"/>
    <w:rsid w:val="0008312F"/>
    <w:rsid w:val="0009014E"/>
    <w:rsid w:val="00093091"/>
    <w:rsid w:val="000A0522"/>
    <w:rsid w:val="000A689A"/>
    <w:rsid w:val="000A7E90"/>
    <w:rsid w:val="000B0530"/>
    <w:rsid w:val="000B3BC4"/>
    <w:rsid w:val="000C0E68"/>
    <w:rsid w:val="000E206F"/>
    <w:rsid w:val="000E5203"/>
    <w:rsid w:val="000E54A0"/>
    <w:rsid w:val="000F0E4F"/>
    <w:rsid w:val="00105E13"/>
    <w:rsid w:val="00110618"/>
    <w:rsid w:val="00115C23"/>
    <w:rsid w:val="00120B81"/>
    <w:rsid w:val="001336A5"/>
    <w:rsid w:val="00134408"/>
    <w:rsid w:val="00134509"/>
    <w:rsid w:val="00171D5B"/>
    <w:rsid w:val="001A5A3D"/>
    <w:rsid w:val="001A7290"/>
    <w:rsid w:val="001B131A"/>
    <w:rsid w:val="001C7095"/>
    <w:rsid w:val="001D060D"/>
    <w:rsid w:val="001D1454"/>
    <w:rsid w:val="001D7276"/>
    <w:rsid w:val="001E52FE"/>
    <w:rsid w:val="001E62AA"/>
    <w:rsid w:val="00220E0C"/>
    <w:rsid w:val="0022126F"/>
    <w:rsid w:val="00234C22"/>
    <w:rsid w:val="002414D8"/>
    <w:rsid w:val="002810F6"/>
    <w:rsid w:val="002914D6"/>
    <w:rsid w:val="002B30F1"/>
    <w:rsid w:val="002F056F"/>
    <w:rsid w:val="002F5307"/>
    <w:rsid w:val="002F6436"/>
    <w:rsid w:val="002F6552"/>
    <w:rsid w:val="00305405"/>
    <w:rsid w:val="00305D22"/>
    <w:rsid w:val="00310C00"/>
    <w:rsid w:val="00336C9F"/>
    <w:rsid w:val="00367D84"/>
    <w:rsid w:val="00372566"/>
    <w:rsid w:val="00375BCE"/>
    <w:rsid w:val="0038555A"/>
    <w:rsid w:val="003B7086"/>
    <w:rsid w:val="003C2254"/>
    <w:rsid w:val="003E74F9"/>
    <w:rsid w:val="003F0549"/>
    <w:rsid w:val="00402AB2"/>
    <w:rsid w:val="00406E77"/>
    <w:rsid w:val="00430E31"/>
    <w:rsid w:val="00460ED9"/>
    <w:rsid w:val="00480BB0"/>
    <w:rsid w:val="00481931"/>
    <w:rsid w:val="00482EF2"/>
    <w:rsid w:val="0049197E"/>
    <w:rsid w:val="004A3A4F"/>
    <w:rsid w:val="004A47FA"/>
    <w:rsid w:val="004A56DC"/>
    <w:rsid w:val="004A715D"/>
    <w:rsid w:val="004B70F6"/>
    <w:rsid w:val="004C4639"/>
    <w:rsid w:val="004C4FEA"/>
    <w:rsid w:val="004D3135"/>
    <w:rsid w:val="004F1AA9"/>
    <w:rsid w:val="004F4CB6"/>
    <w:rsid w:val="004F6435"/>
    <w:rsid w:val="0050020F"/>
    <w:rsid w:val="00521467"/>
    <w:rsid w:val="0052647C"/>
    <w:rsid w:val="0052684A"/>
    <w:rsid w:val="005504B2"/>
    <w:rsid w:val="005515FC"/>
    <w:rsid w:val="00551977"/>
    <w:rsid w:val="0056603B"/>
    <w:rsid w:val="00571655"/>
    <w:rsid w:val="005767B0"/>
    <w:rsid w:val="005A1ACB"/>
    <w:rsid w:val="005B0961"/>
    <w:rsid w:val="005B489E"/>
    <w:rsid w:val="005D1BB9"/>
    <w:rsid w:val="005D6E96"/>
    <w:rsid w:val="005E0605"/>
    <w:rsid w:val="005E1D20"/>
    <w:rsid w:val="005E5690"/>
    <w:rsid w:val="006004D3"/>
    <w:rsid w:val="0060588E"/>
    <w:rsid w:val="00611C51"/>
    <w:rsid w:val="00617C8F"/>
    <w:rsid w:val="006201FC"/>
    <w:rsid w:val="00620A51"/>
    <w:rsid w:val="00624400"/>
    <w:rsid w:val="00645879"/>
    <w:rsid w:val="00660951"/>
    <w:rsid w:val="00664EA9"/>
    <w:rsid w:val="00676512"/>
    <w:rsid w:val="006937C6"/>
    <w:rsid w:val="006A0DE6"/>
    <w:rsid w:val="006A612D"/>
    <w:rsid w:val="006B28B5"/>
    <w:rsid w:val="006B7FFD"/>
    <w:rsid w:val="006D74C5"/>
    <w:rsid w:val="006E237E"/>
    <w:rsid w:val="006F6417"/>
    <w:rsid w:val="0070555C"/>
    <w:rsid w:val="007132A6"/>
    <w:rsid w:val="00724917"/>
    <w:rsid w:val="007272D7"/>
    <w:rsid w:val="00735EBF"/>
    <w:rsid w:val="00752498"/>
    <w:rsid w:val="00761853"/>
    <w:rsid w:val="00762245"/>
    <w:rsid w:val="00797625"/>
    <w:rsid w:val="007A4B8A"/>
    <w:rsid w:val="007E2136"/>
    <w:rsid w:val="007E5E83"/>
    <w:rsid w:val="007F0236"/>
    <w:rsid w:val="008027B9"/>
    <w:rsid w:val="00802D2C"/>
    <w:rsid w:val="00814FE6"/>
    <w:rsid w:val="0082160D"/>
    <w:rsid w:val="00822AA5"/>
    <w:rsid w:val="00833835"/>
    <w:rsid w:val="008360E2"/>
    <w:rsid w:val="008421F0"/>
    <w:rsid w:val="00853311"/>
    <w:rsid w:val="00867083"/>
    <w:rsid w:val="00867283"/>
    <w:rsid w:val="008757D3"/>
    <w:rsid w:val="00875C69"/>
    <w:rsid w:val="00885E87"/>
    <w:rsid w:val="0088745D"/>
    <w:rsid w:val="008972BC"/>
    <w:rsid w:val="008A4492"/>
    <w:rsid w:val="008C0280"/>
    <w:rsid w:val="008C2F0A"/>
    <w:rsid w:val="008C4196"/>
    <w:rsid w:val="008D2B8B"/>
    <w:rsid w:val="008D714C"/>
    <w:rsid w:val="008F15B0"/>
    <w:rsid w:val="009210D6"/>
    <w:rsid w:val="0092405F"/>
    <w:rsid w:val="0092581E"/>
    <w:rsid w:val="00945F78"/>
    <w:rsid w:val="00971C84"/>
    <w:rsid w:val="00983F86"/>
    <w:rsid w:val="00987BE1"/>
    <w:rsid w:val="0099713C"/>
    <w:rsid w:val="009A5DD4"/>
    <w:rsid w:val="009B2CFD"/>
    <w:rsid w:val="009B504D"/>
    <w:rsid w:val="009E0DF0"/>
    <w:rsid w:val="009E6600"/>
    <w:rsid w:val="009E673C"/>
    <w:rsid w:val="009F4720"/>
    <w:rsid w:val="00A02768"/>
    <w:rsid w:val="00A043EF"/>
    <w:rsid w:val="00A11212"/>
    <w:rsid w:val="00A12106"/>
    <w:rsid w:val="00A12829"/>
    <w:rsid w:val="00A12D50"/>
    <w:rsid w:val="00A13102"/>
    <w:rsid w:val="00A3012C"/>
    <w:rsid w:val="00A36910"/>
    <w:rsid w:val="00A57587"/>
    <w:rsid w:val="00A57AC8"/>
    <w:rsid w:val="00A62D3C"/>
    <w:rsid w:val="00A77C77"/>
    <w:rsid w:val="00A94BC1"/>
    <w:rsid w:val="00AA2CB8"/>
    <w:rsid w:val="00AA32EC"/>
    <w:rsid w:val="00AA3A4F"/>
    <w:rsid w:val="00AA4588"/>
    <w:rsid w:val="00AB0AD0"/>
    <w:rsid w:val="00AB1463"/>
    <w:rsid w:val="00AB1CD9"/>
    <w:rsid w:val="00AF0810"/>
    <w:rsid w:val="00B127BA"/>
    <w:rsid w:val="00B137A6"/>
    <w:rsid w:val="00B17D8F"/>
    <w:rsid w:val="00B2278D"/>
    <w:rsid w:val="00B37C49"/>
    <w:rsid w:val="00B43C4D"/>
    <w:rsid w:val="00B478FB"/>
    <w:rsid w:val="00B61ECE"/>
    <w:rsid w:val="00B63239"/>
    <w:rsid w:val="00B65A37"/>
    <w:rsid w:val="00B70D85"/>
    <w:rsid w:val="00B82CAE"/>
    <w:rsid w:val="00BB487B"/>
    <w:rsid w:val="00BD3746"/>
    <w:rsid w:val="00BE206A"/>
    <w:rsid w:val="00BE24BC"/>
    <w:rsid w:val="00BE41F9"/>
    <w:rsid w:val="00C0600D"/>
    <w:rsid w:val="00C12748"/>
    <w:rsid w:val="00C160CD"/>
    <w:rsid w:val="00C26DF5"/>
    <w:rsid w:val="00C303BB"/>
    <w:rsid w:val="00C37471"/>
    <w:rsid w:val="00C609C5"/>
    <w:rsid w:val="00C70226"/>
    <w:rsid w:val="00C82AD2"/>
    <w:rsid w:val="00C82FE9"/>
    <w:rsid w:val="00C84B69"/>
    <w:rsid w:val="00C90A8F"/>
    <w:rsid w:val="00C91B4E"/>
    <w:rsid w:val="00CB20DD"/>
    <w:rsid w:val="00CB3E41"/>
    <w:rsid w:val="00CC2503"/>
    <w:rsid w:val="00CD1CFA"/>
    <w:rsid w:val="00CD7692"/>
    <w:rsid w:val="00CF4B3B"/>
    <w:rsid w:val="00CF66E9"/>
    <w:rsid w:val="00D033EF"/>
    <w:rsid w:val="00D0634A"/>
    <w:rsid w:val="00D238FC"/>
    <w:rsid w:val="00D358FE"/>
    <w:rsid w:val="00D51440"/>
    <w:rsid w:val="00D54B3A"/>
    <w:rsid w:val="00D54B5B"/>
    <w:rsid w:val="00D60789"/>
    <w:rsid w:val="00D62D90"/>
    <w:rsid w:val="00D63426"/>
    <w:rsid w:val="00D75A55"/>
    <w:rsid w:val="00D944EC"/>
    <w:rsid w:val="00DB50FD"/>
    <w:rsid w:val="00DB54C4"/>
    <w:rsid w:val="00DC6BF5"/>
    <w:rsid w:val="00DD4AF4"/>
    <w:rsid w:val="00DF47E6"/>
    <w:rsid w:val="00E107F5"/>
    <w:rsid w:val="00E14708"/>
    <w:rsid w:val="00E34603"/>
    <w:rsid w:val="00E403DA"/>
    <w:rsid w:val="00E40D35"/>
    <w:rsid w:val="00E41431"/>
    <w:rsid w:val="00E44B9D"/>
    <w:rsid w:val="00E50BBB"/>
    <w:rsid w:val="00E5773B"/>
    <w:rsid w:val="00E660B3"/>
    <w:rsid w:val="00E7671D"/>
    <w:rsid w:val="00E77A0E"/>
    <w:rsid w:val="00E84971"/>
    <w:rsid w:val="00E96A61"/>
    <w:rsid w:val="00EA54A3"/>
    <w:rsid w:val="00EB4EAB"/>
    <w:rsid w:val="00EC7EC7"/>
    <w:rsid w:val="00EE13AC"/>
    <w:rsid w:val="00EF0AE7"/>
    <w:rsid w:val="00EF2A84"/>
    <w:rsid w:val="00F001D7"/>
    <w:rsid w:val="00F03998"/>
    <w:rsid w:val="00F272CD"/>
    <w:rsid w:val="00F3063E"/>
    <w:rsid w:val="00F34ED2"/>
    <w:rsid w:val="00F50E07"/>
    <w:rsid w:val="00F54F7E"/>
    <w:rsid w:val="00F9100E"/>
    <w:rsid w:val="00F94138"/>
    <w:rsid w:val="00F96647"/>
    <w:rsid w:val="00FA1337"/>
    <w:rsid w:val="00FA40E8"/>
    <w:rsid w:val="00FC2430"/>
    <w:rsid w:val="00FF236C"/>
    <w:rsid w:val="00FF597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character" w:styleId="ad">
    <w:name w:val="Placeholder Text"/>
    <w:basedOn w:val="a0"/>
    <w:uiPriority w:val="99"/>
    <w:semiHidden/>
    <w:rsid w:val="006A612D"/>
    <w:rPr>
      <w:color w:val="808080"/>
    </w:rPr>
  </w:style>
  <w:style w:type="paragraph" w:styleId="ae">
    <w:name w:val="List Paragraph"/>
    <w:basedOn w:val="a"/>
    <w:qFormat/>
    <w:rsid w:val="00E34603"/>
    <w:pPr>
      <w:ind w:left="720"/>
      <w:contextualSpacing/>
    </w:pPr>
  </w:style>
  <w:style w:type="character" w:styleId="Hyperlink">
    <w:name w:val="Hyperlink"/>
    <w:basedOn w:val="a0"/>
    <w:unhideWhenUsed/>
    <w:rsid w:val="00624400"/>
    <w:rPr>
      <w:color w:val="0000FF" w:themeColor="hyperlink"/>
      <w:u w:val="single"/>
    </w:rPr>
  </w:style>
  <w:style w:type="character" w:customStyle="1" w:styleId="a4">
    <w:name w:val="כותרת עליונה תו"/>
    <w:basedOn w:val="a0"/>
    <w:link w:val="a3"/>
    <w:rsid w:val="00480BB0"/>
    <w:rPr>
      <w:rFonts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941301">
      <w:bodyDiv w:val="1"/>
      <w:marLeft w:val="0"/>
      <w:marRight w:val="0"/>
      <w:marTop w:val="0"/>
      <w:marBottom w:val="0"/>
      <w:divBdr>
        <w:top w:val="none" w:sz="0" w:space="0" w:color="auto"/>
        <w:left w:val="none" w:sz="0" w:space="0" w:color="auto"/>
        <w:bottom w:val="none" w:sz="0" w:space="0" w:color="auto"/>
        <w:right w:val="none" w:sz="0" w:space="0" w:color="auto"/>
      </w:divBdr>
    </w:div>
    <w:div w:id="1024601028">
      <w:bodyDiv w:val="1"/>
      <w:marLeft w:val="0"/>
      <w:marRight w:val="0"/>
      <w:marTop w:val="0"/>
      <w:marBottom w:val="0"/>
      <w:divBdr>
        <w:top w:val="none" w:sz="0" w:space="0" w:color="auto"/>
        <w:left w:val="none" w:sz="0" w:space="0" w:color="auto"/>
        <w:bottom w:val="none" w:sz="0" w:space="0" w:color="auto"/>
        <w:right w:val="none" w:sz="0" w:space="0" w:color="auto"/>
      </w:divBdr>
    </w:div>
    <w:div w:id="1170558673">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8663960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7318054">
      <w:bodyDiv w:val="1"/>
      <w:marLeft w:val="0"/>
      <w:marRight w:val="0"/>
      <w:marTop w:val="0"/>
      <w:marBottom w:val="0"/>
      <w:divBdr>
        <w:top w:val="none" w:sz="0" w:space="0" w:color="auto"/>
        <w:left w:val="none" w:sz="0" w:space="0" w:color="auto"/>
        <w:bottom w:val="none" w:sz="0" w:space="0" w:color="auto"/>
        <w:right w:val="none" w:sz="0" w:space="0" w:color="auto"/>
      </w:divBdr>
    </w:div>
    <w:div w:id="1749962988">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law/72178"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nevo.co.il/law/72178"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72178"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nevo.co.il/law/72178/41.a"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8E5833270C5499AAA485CCF8A2EA522"/>
        <w:category>
          <w:name w:val="כללי"/>
          <w:gallery w:val="placeholder"/>
        </w:category>
        <w:types>
          <w:type w:val="bbPlcHdr"/>
        </w:types>
        <w:behaviors>
          <w:behavior w:val="content"/>
        </w:behaviors>
        <w:guid w:val="{5CEA29B6-6FFC-45F2-B592-4876AAA4F98B}"/>
      </w:docPartPr>
      <w:docPartBody>
        <w:p w:rsidR="00A714C6" w:rsidRDefault="00F26072" w:rsidP="00F26072">
          <w:pPr>
            <w:pStyle w:val="A8E5833270C5499AAA485CCF8A2EA5222"/>
          </w:pPr>
          <w:r>
            <w:rPr>
              <w:rFonts w:hint="cs"/>
              <w:b/>
              <w:bCs/>
              <w:sz w:val="26"/>
              <w:szCs w:val="26"/>
              <w:rtl/>
            </w:rPr>
            <w:t>סוג בעניין</w:t>
          </w:r>
        </w:p>
      </w:docPartBody>
    </w:docPart>
    <w:docPart>
      <w:docPartPr>
        <w:name w:val="565E1EFFD34947D08D8A2A20F6165D99"/>
        <w:category>
          <w:name w:val="כללי"/>
          <w:gallery w:val="placeholder"/>
        </w:category>
        <w:types>
          <w:type w:val="bbPlcHdr"/>
        </w:types>
        <w:behaviors>
          <w:behavior w:val="content"/>
        </w:behaviors>
        <w:guid w:val="{CA7CA167-3C9B-4D19-9BEC-DDFB9FF3A5DA}"/>
      </w:docPartPr>
      <w:docPartBody>
        <w:p w:rsidR="00A714C6" w:rsidRDefault="00F26072" w:rsidP="00F26072">
          <w:pPr>
            <w:pStyle w:val="565E1EFFD34947D08D8A2A20F6165D992"/>
          </w:pPr>
          <w:r>
            <w:rPr>
              <w:rFonts w:hint="cs"/>
              <w:b/>
              <w:bCs/>
              <w:sz w:val="26"/>
              <w:szCs w:val="26"/>
              <w:rtl/>
            </w:rPr>
            <w:t>בעניין שם משפחה</w:t>
          </w:r>
        </w:p>
      </w:docPartBody>
    </w:docPart>
    <w:docPart>
      <w:docPartPr>
        <w:name w:val="8EE10DA5B5EC4B81ADA486D0B8435881"/>
        <w:category>
          <w:name w:val="כללי"/>
          <w:gallery w:val="placeholder"/>
        </w:category>
        <w:types>
          <w:type w:val="bbPlcHdr"/>
        </w:types>
        <w:behaviors>
          <w:behavior w:val="content"/>
        </w:behaviors>
        <w:guid w:val="{6D9898BF-4C68-4D55-A079-9AE31E7B749C}"/>
      </w:docPartPr>
      <w:docPartBody>
        <w:p w:rsidR="00A714C6" w:rsidRDefault="00F26072" w:rsidP="00F26072">
          <w:pPr>
            <w:pStyle w:val="8EE10DA5B5EC4B81ADA486D0B84358812"/>
          </w:pPr>
          <w:r>
            <w:rPr>
              <w:rFonts w:hint="cs"/>
              <w:b/>
              <w:bCs/>
              <w:sz w:val="26"/>
              <w:szCs w:val="26"/>
              <w:rtl/>
            </w:rPr>
            <w:t>בעניין סוג זיהוי</w:t>
          </w:r>
        </w:p>
      </w:docPartBody>
    </w:docPart>
    <w:docPart>
      <w:docPartPr>
        <w:name w:val="A504B290065D462F9D3B1A90634C9A0C"/>
        <w:category>
          <w:name w:val="כללי"/>
          <w:gallery w:val="placeholder"/>
        </w:category>
        <w:types>
          <w:type w:val="bbPlcHdr"/>
        </w:types>
        <w:behaviors>
          <w:behavior w:val="content"/>
        </w:behaviors>
        <w:guid w:val="{1BA907DD-AA73-4C89-9CA2-A254549D73D7}"/>
      </w:docPartPr>
      <w:docPartBody>
        <w:p w:rsidR="00F26072" w:rsidRDefault="00F26072" w:rsidP="00F26072">
          <w:pPr>
            <w:pStyle w:val="A504B290065D462F9D3B1A90634C9A0C"/>
          </w:pPr>
          <w:r>
            <w:rPr>
              <w:rFonts w:hint="eastAsia"/>
              <w:b/>
              <w:bCs/>
              <w:rtl/>
            </w:rPr>
            <w:t>בעניין</w:t>
          </w:r>
          <w:r>
            <w:rPr>
              <w:b/>
              <w:bCs/>
              <w:rtl/>
            </w:rPr>
            <w:t xml:space="preserve"> מספר זיהוי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03D"/>
    <w:rsid w:val="004B3884"/>
    <w:rsid w:val="0050303D"/>
    <w:rsid w:val="00A714C6"/>
    <w:rsid w:val="00B27366"/>
    <w:rsid w:val="00E42E90"/>
    <w:rsid w:val="00F2607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26072"/>
    <w:rPr>
      <w:color w:val="808080"/>
    </w:rPr>
  </w:style>
  <w:style w:type="paragraph" w:customStyle="1" w:styleId="60DAC7DB18DD46FEB9B75C27321C512C">
    <w:name w:val="60DAC7DB18DD46FEB9B75C27321C512C"/>
    <w:rsid w:val="004B3884"/>
    <w:pPr>
      <w:bidi/>
      <w:spacing w:after="160" w:line="259" w:lineRule="auto"/>
    </w:pPr>
  </w:style>
  <w:style w:type="paragraph" w:customStyle="1" w:styleId="947E8CC1D4814D6597C8D43365CF0C1C">
    <w:name w:val="947E8CC1D4814D6597C8D43365CF0C1C"/>
    <w:rsid w:val="004B3884"/>
    <w:pPr>
      <w:bidi/>
      <w:spacing w:after="160" w:line="259" w:lineRule="auto"/>
    </w:pPr>
  </w:style>
  <w:style w:type="paragraph" w:customStyle="1" w:styleId="C91633A0ACCE4C079C1A382B33457BF7">
    <w:name w:val="C91633A0ACCE4C079C1A382B33457BF7"/>
    <w:rsid w:val="004B3884"/>
    <w:pPr>
      <w:bidi/>
      <w:spacing w:after="160" w:line="259" w:lineRule="auto"/>
    </w:pPr>
  </w:style>
  <w:style w:type="paragraph" w:customStyle="1" w:styleId="D212E6D0EB8347B59E131AD16B8FADB8">
    <w:name w:val="D212E6D0EB8347B59E131AD16B8FADB8"/>
    <w:rsid w:val="004B3884"/>
    <w:pPr>
      <w:bidi/>
      <w:spacing w:after="160" w:line="259" w:lineRule="auto"/>
    </w:pPr>
  </w:style>
  <w:style w:type="paragraph" w:customStyle="1" w:styleId="7CB11627FF6343F4BF7B70213DBCFA5B">
    <w:name w:val="7CB11627FF6343F4BF7B70213DBCFA5B"/>
    <w:rsid w:val="004B3884"/>
    <w:pPr>
      <w:bidi/>
      <w:spacing w:after="160" w:line="259" w:lineRule="auto"/>
    </w:pPr>
  </w:style>
  <w:style w:type="paragraph" w:customStyle="1" w:styleId="BC18134CBB5D4F97B0F34B3C942818F3">
    <w:name w:val="BC18134CBB5D4F97B0F34B3C942818F3"/>
    <w:rsid w:val="004B3884"/>
    <w:pPr>
      <w:bidi/>
      <w:spacing w:after="160" w:line="259" w:lineRule="auto"/>
    </w:pPr>
  </w:style>
  <w:style w:type="paragraph" w:customStyle="1" w:styleId="A5C9E44B83A74176B0B162D68D0B99CC">
    <w:name w:val="A5C9E44B83A74176B0B162D68D0B99CC"/>
    <w:rsid w:val="004B3884"/>
    <w:pPr>
      <w:bidi/>
      <w:spacing w:after="160" w:line="259" w:lineRule="auto"/>
    </w:pPr>
  </w:style>
  <w:style w:type="paragraph" w:customStyle="1" w:styleId="A8E5833270C5499AAA485CCF8A2EA522">
    <w:name w:val="A8E5833270C5499AAA485CCF8A2EA522"/>
    <w:rsid w:val="004B3884"/>
    <w:pPr>
      <w:bidi/>
      <w:spacing w:after="160" w:line="259" w:lineRule="auto"/>
    </w:pPr>
  </w:style>
  <w:style w:type="paragraph" w:customStyle="1" w:styleId="27172337B2474EBC88EE0BCE1B1268D4">
    <w:name w:val="27172337B2474EBC88EE0BCE1B1268D4"/>
    <w:rsid w:val="004B3884"/>
    <w:pPr>
      <w:bidi/>
      <w:spacing w:after="160" w:line="259" w:lineRule="auto"/>
    </w:pPr>
  </w:style>
  <w:style w:type="paragraph" w:customStyle="1" w:styleId="565E1EFFD34947D08D8A2A20F6165D99">
    <w:name w:val="565E1EFFD34947D08D8A2A20F6165D99"/>
    <w:rsid w:val="004B3884"/>
    <w:pPr>
      <w:bidi/>
      <w:spacing w:after="160" w:line="259" w:lineRule="auto"/>
    </w:pPr>
  </w:style>
  <w:style w:type="paragraph" w:customStyle="1" w:styleId="8EE10DA5B5EC4B81ADA486D0B8435881">
    <w:name w:val="8EE10DA5B5EC4B81ADA486D0B8435881"/>
    <w:rsid w:val="004B3884"/>
    <w:pPr>
      <w:bidi/>
      <w:spacing w:after="160" w:line="259" w:lineRule="auto"/>
    </w:pPr>
  </w:style>
  <w:style w:type="paragraph" w:customStyle="1" w:styleId="AF112779E2044452944D512219595744">
    <w:name w:val="AF112779E2044452944D512219595744"/>
    <w:rsid w:val="004B3884"/>
    <w:pPr>
      <w:bidi/>
      <w:spacing w:after="160" w:line="259" w:lineRule="auto"/>
    </w:pPr>
  </w:style>
  <w:style w:type="paragraph" w:customStyle="1" w:styleId="A8E5833270C5499AAA485CCF8A2EA5221">
    <w:name w:val="A8E5833270C5499AAA485CCF8A2EA5221"/>
    <w:rsid w:val="004B3884"/>
    <w:pPr>
      <w:bidi/>
      <w:spacing w:after="0" w:line="240" w:lineRule="auto"/>
    </w:pPr>
    <w:rPr>
      <w:rFonts w:ascii="Times New Roman" w:eastAsia="Times New Roman" w:hAnsi="Times New Roman" w:cs="David"/>
      <w:noProof/>
      <w:sz w:val="24"/>
      <w:szCs w:val="24"/>
    </w:rPr>
  </w:style>
  <w:style w:type="paragraph" w:customStyle="1" w:styleId="27172337B2474EBC88EE0BCE1B1268D41">
    <w:name w:val="27172337B2474EBC88EE0BCE1B1268D41"/>
    <w:rsid w:val="004B3884"/>
    <w:pPr>
      <w:bidi/>
      <w:spacing w:after="0" w:line="240" w:lineRule="auto"/>
    </w:pPr>
    <w:rPr>
      <w:rFonts w:ascii="Times New Roman" w:eastAsia="Times New Roman" w:hAnsi="Times New Roman" w:cs="David"/>
      <w:noProof/>
      <w:sz w:val="24"/>
      <w:szCs w:val="24"/>
    </w:rPr>
  </w:style>
  <w:style w:type="paragraph" w:customStyle="1" w:styleId="565E1EFFD34947D08D8A2A20F6165D991">
    <w:name w:val="565E1EFFD34947D08D8A2A20F6165D991"/>
    <w:rsid w:val="004B3884"/>
    <w:pPr>
      <w:bidi/>
      <w:spacing w:after="0" w:line="240" w:lineRule="auto"/>
    </w:pPr>
    <w:rPr>
      <w:rFonts w:ascii="Times New Roman" w:eastAsia="Times New Roman" w:hAnsi="Times New Roman" w:cs="David"/>
      <w:noProof/>
      <w:sz w:val="24"/>
      <w:szCs w:val="24"/>
    </w:rPr>
  </w:style>
  <w:style w:type="paragraph" w:customStyle="1" w:styleId="8EE10DA5B5EC4B81ADA486D0B84358811">
    <w:name w:val="8EE10DA5B5EC4B81ADA486D0B84358811"/>
    <w:rsid w:val="004B3884"/>
    <w:pPr>
      <w:bidi/>
      <w:spacing w:after="0" w:line="240" w:lineRule="auto"/>
    </w:pPr>
    <w:rPr>
      <w:rFonts w:ascii="Times New Roman" w:eastAsia="Times New Roman" w:hAnsi="Times New Roman" w:cs="David"/>
      <w:noProof/>
      <w:sz w:val="24"/>
      <w:szCs w:val="24"/>
    </w:rPr>
  </w:style>
  <w:style w:type="paragraph" w:customStyle="1" w:styleId="AF112779E2044452944D5122195957441">
    <w:name w:val="AF112779E2044452944D5122195957441"/>
    <w:rsid w:val="004B3884"/>
    <w:pPr>
      <w:bidi/>
      <w:spacing w:after="0" w:line="240" w:lineRule="auto"/>
    </w:pPr>
    <w:rPr>
      <w:rFonts w:ascii="Times New Roman" w:eastAsia="Times New Roman" w:hAnsi="Times New Roman" w:cs="David"/>
      <w:noProof/>
      <w:sz w:val="24"/>
      <w:szCs w:val="24"/>
    </w:rPr>
  </w:style>
  <w:style w:type="paragraph" w:customStyle="1" w:styleId="A8E5833270C5499AAA485CCF8A2EA5222">
    <w:name w:val="A8E5833270C5499AAA485CCF8A2EA5222"/>
    <w:rsid w:val="00F26072"/>
    <w:pPr>
      <w:bidi/>
      <w:spacing w:after="0" w:line="240" w:lineRule="auto"/>
    </w:pPr>
    <w:rPr>
      <w:rFonts w:ascii="Times New Roman" w:eastAsia="Times New Roman" w:hAnsi="Times New Roman" w:cs="David"/>
      <w:noProof/>
      <w:sz w:val="24"/>
      <w:szCs w:val="24"/>
    </w:rPr>
  </w:style>
  <w:style w:type="paragraph" w:customStyle="1" w:styleId="27172337B2474EBC88EE0BCE1B1268D42">
    <w:name w:val="27172337B2474EBC88EE0BCE1B1268D42"/>
    <w:rsid w:val="00F26072"/>
    <w:pPr>
      <w:bidi/>
      <w:spacing w:after="0" w:line="240" w:lineRule="auto"/>
    </w:pPr>
    <w:rPr>
      <w:rFonts w:ascii="Times New Roman" w:eastAsia="Times New Roman" w:hAnsi="Times New Roman" w:cs="David"/>
      <w:noProof/>
      <w:sz w:val="24"/>
      <w:szCs w:val="24"/>
    </w:rPr>
  </w:style>
  <w:style w:type="paragraph" w:customStyle="1" w:styleId="565E1EFFD34947D08D8A2A20F6165D992">
    <w:name w:val="565E1EFFD34947D08D8A2A20F6165D992"/>
    <w:rsid w:val="00F26072"/>
    <w:pPr>
      <w:bidi/>
      <w:spacing w:after="0" w:line="240" w:lineRule="auto"/>
    </w:pPr>
    <w:rPr>
      <w:rFonts w:ascii="Times New Roman" w:eastAsia="Times New Roman" w:hAnsi="Times New Roman" w:cs="David"/>
      <w:noProof/>
      <w:sz w:val="24"/>
      <w:szCs w:val="24"/>
    </w:rPr>
  </w:style>
  <w:style w:type="paragraph" w:customStyle="1" w:styleId="8EE10DA5B5EC4B81ADA486D0B84358812">
    <w:name w:val="8EE10DA5B5EC4B81ADA486D0B84358812"/>
    <w:rsid w:val="00F26072"/>
    <w:pPr>
      <w:bidi/>
      <w:spacing w:after="0" w:line="240" w:lineRule="auto"/>
    </w:pPr>
    <w:rPr>
      <w:rFonts w:ascii="Times New Roman" w:eastAsia="Times New Roman" w:hAnsi="Times New Roman" w:cs="David"/>
      <w:noProof/>
      <w:sz w:val="24"/>
      <w:szCs w:val="24"/>
    </w:rPr>
  </w:style>
  <w:style w:type="paragraph" w:customStyle="1" w:styleId="A504B290065D462F9D3B1A90634C9A0C">
    <w:name w:val="A504B290065D462F9D3B1A90634C9A0C"/>
    <w:rsid w:val="00F2607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77649678</CaseID>
    <CaseJudicialPersonPresentationDS>
      <CaseJudicalPersonActive>
        <CaseID>77649678</CaseID>
        <JudicialPersonID>033663675@GOV.IL</JudicialPersonID>
        <JudicialPersonTypeID>1</JudicialPersonTypeID>
        <JudicialTypeID>1</JudicialTypeID>
        <IsChairman>false</IsChairman>
        <TreatmentStartDate>2024-09-02T07:31:45.707+03:00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iesSelectionDS>
      <CaseParties>
        <PartyTypeName>מסייע</PartyTypeName>
        <ProceedingType>כתב טענות עיקרי</ProceedingType>
        <PleaName>כתב התנגדות בעזבונות</PleaName>
        <PartyBelonging> - </PartyBelonging>
        <RoleName>אחר</RoleName>
        <IsSubProceeding>FALSE</IsSubProceeding>
        <FullName>הסיוע המשפטי - מחוז ירושלים</FullName>
        <LastName>הסיוע המשפטי - מחוז ירושלים</LastName>
        <PartyPropertyName/>
        <AuthenticationTypeAndNumber>גופים על פי דין 513436330</AuthenticationTypeAndNumber>
        <RepresentatedOrRepresentativesNames/>
        <RepresentatedOrRepresentativesCount>0</RepresentatedOrRepresentativesCount>
        <InvitedBy/>
        <CaseID>77649678</CaseID>
        <CaseJudicialPersonPresentationDS>
          <CaseJudicalPersonActive>
            <CaseID>77649678</CaseID>
            <JudicialPersonID>033663675@GOV.IL</JudicialPersonID>
            <JudicialPersonTypeID>1</JudicialPersonTypeID>
            <JudicialTypeID>1</JudicialTypeID>
            <IsChairman>false</IsChairman>
            <TreatmentStartDate>2024-09-02T07:31:45.707+03:00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218662032</CasePartyID>
        <PartyTypeID>3</PartyTypeID>
        <ActivityStatusID>1</ActivityStatusID>
        <LegalEntityID>15868479</LegalEntityID>
        <CaseLegalEntityID>113055566</CaseLegalEntityID>
        <AssistantRoleID>33</AssistantRoleID>
        <AuthenticationTypeID>17</AuthenticationTypeID>
        <AuthenticationTypeName>גופים על פי דין</AuthenticationTypeName>
        <LegalEntityNumber>513436330</LegalEntityNumber>
        <IsMainPartyType>true</IsMainPartyType>
        <CaseDisplayIdentifier>38653-08-20</CaseDisplayIdentifier>
        <CaseTypeID>86</CaseTypeID>
        <CaseTypeName>תיק עזבונות (ת"ע)</CaseTypeName>
        <CaseName>מאגרפטה ואח' נ' האפוטרופוס הכללי במחוז ירושלים ואח'</CaseName>
        <FullAddress>הסורג 1 ירושלים בית מצפה קומה 2</FullAddress>
        <EmailAddress>jer-siyualaw@justice.gov.il</EmailAddress>
        <MotionID>0</MotionID>
        <CasePleaID>0</CasePleaID>
        <LinkedCaseID>0</LinkedCaseID>
        <PartyID>1</PartyID>
        <CasePartyCategoryID>2</CasePartyCategoryID>
        <LegalEntityAddressID>83024330</LegalEntityAddressID>
        <LegalEntityEmailAddressID>67961937</LegalEntityEmailAddressID>
        <PleaTypeID>253</PleaTypeID>
        <GroupPartyAlias/>
        <IsConverted>false</IsConverted>
        <LegalEntityRegisteredNameID>6018550</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ירושלים</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יוסף אפטרגוט</FullName>
        <FirstName>יוסף</FirstName>
        <LastName>אפטרגוט</LastName>
        <PartyPropertyName/>
        <AuthenticationTypeAndNumber>מ.ר. 19268</AuthenticationTypeAndNumber>
        <RepresentatedOrRepresentativesNames>אושרה אפטרגוט</RepresentatedOrRepresentativesNames>
        <RepresentatedOrRepresentativesCount>1</RepresentatedOrRepresentativesCount>
        <InvitedBy/>
        <CaseID>77649678</CaseID>
        <CaseJudicialPersonPresentationDS>
          <CaseJudicalPersonActive>
            <CaseID>77649678</CaseID>
            <JudicialPersonID>033663675@GOV.IL</JudicialPersonID>
            <JudicialPersonTypeID>1</JudicialPersonTypeID>
            <JudicialTypeID>1</JudicialTypeID>
            <IsChairman>false</IsChairman>
            <TreatmentStartDate>2024-09-02T07:31:45.707+03:00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215447763</CasePartyID>
        <PartyTypeID>2</PartyTypeID>
        <ActivityStatusID>1</ActivityStatusID>
        <PartyAliasID>20</PartyAliasID>
        <PartyAliasName>בא כוח תובעים</PartyAliasName>
        <LegalEntityID>384281</LegalEntityID>
        <CaseLegalEntityID>112076194</CaseLegalEntityID>
        <AuthenticationTypeID>4</AuthenticationTypeID>
        <AuthenticationTypeName>מ.ר.</AuthenticationTypeName>
        <LegalEntityNumber>19268</LegalEntityNumber>
        <IsMainPartyType>true</IsMainPartyType>
        <CaseDisplayIdentifier>38653-08-20</CaseDisplayIdentifier>
        <CaseTypeID>86</CaseTypeID>
        <CaseTypeName>תיק עזבונות (ת"ע)</CaseTypeName>
        <CaseName>מאגרפטה ואח' נ' האפוטרופוס הכללי במחוז ירושלים ואח'</CaseName>
        <FullAddress>דרך מנחם בגין 88 תל אביב -יפו ת.ד 51100</FullAddress>
        <EmailAddress>aftergut2@walla.co.il</EmailAddress>
        <MotionID>0</MotionID>
        <CasePleaID>0</CasePleaID>
        <LinkedCaseID>0</LinkedCaseID>
        <PartyID>1</PartyID>
        <CasePartyCategoryID>2</CasePartyCategoryID>
        <LegalEntityAddressID>89296913</LegalEntityAddressID>
        <LegalEntityEmailAddressID>68384249</LegalEntityEmailAddressID>
        <PleaTypeID>253</PleaTypeID>
        <LawyerOfficeName>משרד עו"ד: יוסף אפטרגוט</LawyerOfficeName>
        <LawyerOfficeID>424925</LawyerOfficeID>
        <GroupPartyAlias/>
        <IsConverted>false</IsConverted>
        <LegalEntityNameID>5265</LegalEntityNameID>
        <RepresentatedNamesOfAssistant/>
        <LegalEntityTypeID>4</LegalEntityTypeID>
        <IsVerdictExists>false</IsVerdictExists>
        <IsAsirAzir>false</IsAsirAzir>
        <MainAndSecSpec/>
        <IsPublicationProhibited>false</IsPublicationProhibited>
        <PublicationProhibitedFullName>יוסף אפטרגוט</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מיכל קורינאלדי כ</FullName>
        <FirstName>מיכל</FirstName>
        <LastName>קורינאלדי כ</LastName>
        <PartyPropertyName/>
        <AuthenticationTypeAndNumber>מ.ר. 31752</AuthenticationTypeAndNumber>
        <RepresentatedOrRepresentativesNames>מרים ישראל</RepresentatedOrRepresentativesNames>
        <RepresentatedOrRepresentativesCount>1</RepresentatedOrRepresentativesCount>
        <InvitedBy/>
        <CaseID>77649678</CaseID>
        <CaseJudicialPersonPresentationDS>
          <CaseJudicalPersonActive>
            <CaseID>77649678</CaseID>
            <JudicialPersonID>033663675@GOV.IL</JudicialPersonID>
            <JudicialPersonTypeID>1</JudicialPersonTypeID>
            <JudicialTypeID>1</JudicialTypeID>
            <IsChairman>false</IsChairman>
            <TreatmentStartDate>2024-09-02T07:31:45.707+03:00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218813280</CasePartyID>
        <PartyTypeID>2</PartyTypeID>
        <ActivityStatusID>1</ActivityStatusID>
        <PartyAliasID>21</PartyAliasID>
        <PartyAliasName>בא כוח נתבעים</PartyAliasName>
        <LegalEntityID>406718</LegalEntityID>
        <CaseLegalEntityID>113100632</CaseLegalEntityID>
        <AuthenticationTypeID>4</AuthenticationTypeID>
        <AuthenticationTypeName>מ.ר.</AuthenticationTypeName>
        <LegalEntityNumber>31752</LegalEntityNumber>
        <IsMainPartyType>true</IsMainPartyType>
        <CaseDisplayIdentifier>38653-08-20</CaseDisplayIdentifier>
        <CaseTypeID>86</CaseTypeID>
        <CaseTypeName>תיק עזבונות (ת"ע)</CaseTypeName>
        <CaseName>מאגרפטה ואח' נ' האפוטרופוס הכללי במחוז ירושלים ואח'</CaseName>
        <FullAddress>קרן היסוד 36 ירושלים </FullAddress>
        <EmailAddress>michal@corinaldi.co.il</EmailAddress>
        <MotionID>0</MotionID>
        <CasePleaID>0</CasePleaID>
        <LinkedCaseID>0</LinkedCaseID>
        <PartyID>2</PartyID>
        <CasePartyCategoryID>2</CasePartyCategoryID>
        <LegalEntityAddressID>73958035</LegalEntityAddressID>
        <LegalEntityEmailAddressID>67830665</LegalEntityEmailAddressID>
        <PleaTypeID>253</PleaTypeID>
        <LawyerOfficeName>משרד עו"ד: גלעד קורנלדי</LawyerOfficeName>
        <LawyerOfficeID>431888</LawyerOfficeID>
        <GroupPartyAlias/>
        <IsConverted>false</IsConverted>
        <LegalEntityNameID>27702</LegalEntityNameID>
        <RepresentatedNamesOfAssistant/>
        <LegalEntityTypeID>4</LegalEntityTypeID>
        <IsVerdictExists>false</IsVerdictExists>
        <IsAsirAzir>false</IsAsirAzir>
        <MainAndSecSpec/>
        <IsPublicationProhibited>false</IsPublicationProhibited>
        <PublicationProhibitedFullName>מיכל קורינאלדי כ</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סיגלית מאגרפטה</FullName>
        <FirstName>סיגלית</FirstName>
        <LastName>מאגרפטה</LastName>
        <PartyPropertyName/>
        <AuthenticationTypeAndNumber>ת"ז 023610082</AuthenticationTypeAndNumber>
        <RepresentatedOrRepresentativesNames/>
        <RepresentatedOrRepresentativesCount>0</RepresentatedOrRepresentativesCount>
        <InvitedBy/>
        <CaseID>77649678</CaseID>
        <CaseJudicialPersonPresentationDS>
          <CaseJudicalPersonActive>
            <CaseID>77649678</CaseID>
            <JudicialPersonID>033663675@GOV.IL</JudicialPersonID>
            <JudicialPersonTypeID>1</JudicialPersonTypeID>
            <JudicialTypeID>1</JudicialTypeID>
            <IsChairman>false</IsChairman>
            <TreatmentStartDate>2024-09-02T07:31:45.707+03:00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215413047</CasePartyID>
        <PartyTypeID>1</PartyTypeID>
        <ActivityStatusID>1</ActivityStatusID>
        <PartyAliasID>1</PartyAliasID>
        <PartyAliasName>תובע</PartyAliasName>
        <OrdinalNumber>1</OrdinalNumber>
        <LegalEntityID>78288457</LegalEntityID>
        <CaseLegalEntityID>112064895</CaseLegalEntityID>
        <AuthenticationTypeID>1</AuthenticationTypeID>
        <AuthenticationTypeName>ת"ז</AuthenticationTypeName>
        <LegalEntityNumber>023610082</LegalEntityNumber>
        <IsMainPartyType>true</IsMainPartyType>
        <CaseDisplayIdentifier>38653-08-20</CaseDisplayIdentifier>
        <CaseTypeID>86</CaseTypeID>
        <CaseTypeName>תיק עזבונות (ת"ע)</CaseTypeName>
        <CaseName>מאגרפטה ואח' נ' האפוטרופוס הכללי במחוז ירושלים ואח'</CaseName>
        <FullAddress>סנהדריה המורחבת 111/6 ירושלים </FullAddress>
        <MotionID>0</MotionID>
        <CasePleaID>0</CasePleaID>
        <FatherName>נסים</FatherName>
        <LinkedCaseID>0</LinkedCaseID>
        <PartyID>1</PartyID>
        <CasePartyCategoryID>2</CasePartyCategoryID>
        <LegalEntityAddressID>84239746</LegalEntityAddressID>
        <PleaTypeID>253</PleaTypeID>
        <GroupPartyAlias>תובעים</GroupPartyAlias>
        <IsConverted>false</IsConverted>
        <LegalEntityRegisteredNameID>9225323</LegalEntityRegisteredNameID>
        <LegalEntityNameID>90082872</LegalEntityNameID>
        <RepresentatedNamesOfAssistant/>
        <LegalEntityTypeID>1</LegalEntityTypeID>
        <IsVerdictExists>false</IsVerdictExists>
        <IsAsirAzir>false</IsAsirAzir>
        <MainAndSecSpec/>
        <IsPublicationProhibited>false</IsPublicationProhibited>
        <PublicationProhibitedFullName>סיגלית מאגרפטה</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אלון סיסו</FullName>
        <FirstName>אלון</FirstName>
        <LastName>סיסו</LastName>
        <PartyPropertyName/>
        <AuthenticationTypeAndNumber>מ.ר. 32375</AuthenticationTypeAndNumber>
        <RepresentatedOrRepresentativesNames>אהרן לוי, מזל לוי</RepresentatedOrRepresentativesNames>
        <RepresentatedOrRepresentativesCount>2</RepresentatedOrRepresentativesCount>
        <InvitedBy/>
        <CaseID>77649678</CaseID>
        <CaseJudicialPersonPresentationDS>
          <CaseJudicalPersonActive>
            <CaseID>77649678</CaseID>
            <JudicialPersonID>033663675@GOV.IL</JudicialPersonID>
            <JudicialPersonTypeID>1</JudicialPersonTypeID>
            <JudicialTypeID>1</JudicialTypeID>
            <IsChairman>false</IsChairman>
            <TreatmentStartDate>2024-09-02T07:31:45.707+03:00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215413049</CasePartyID>
        <PartyTypeID>2</PartyTypeID>
        <ActivityStatusID>1</ActivityStatusID>
        <PartyAliasID>21</PartyAliasID>
        <PartyAliasName>בא כוח נתבעים</PartyAliasName>
        <OrdinalNumber>1</OrdinalNumber>
        <LegalEntityID>390180</LegalEntityID>
        <CaseLegalEntityID>112064897</CaseLegalEntityID>
        <AuthenticationTypeID>4</AuthenticationTypeID>
        <AuthenticationTypeName>מ.ר.</AuthenticationTypeName>
        <LegalEntityNumber>32375</LegalEntityNumber>
        <IsMainPartyType>true</IsMainPartyType>
        <CaseDisplayIdentifier>38653-08-20</CaseDisplayIdentifier>
        <CaseTypeID>86</CaseTypeID>
        <CaseTypeName>תיק עזבונות (ת"ע)</CaseTypeName>
        <CaseName>מאגרפטה ואח' נ' האפוטרופוס הכללי במחוז ירושלים ואח'</CaseName>
        <FullAddress>משה שרת 35 קריית ים </FullAddress>
        <EmailAddress>alonsisso@gmail.com</EmailAddress>
        <MotionID>0</MotionID>
        <CasePleaID>0</CasePleaID>
        <LinkedCaseID>0</LinkedCaseID>
        <PartyID>2</PartyID>
        <CasePartyCategoryID>2</CasePartyCategoryID>
        <LegalEntityAddressID>433162</LegalEntityAddressID>
        <LegalEntityEmailAddressID>67917811</LegalEntityEmailAddressID>
        <PleaTypeID>253</PleaTypeID>
        <LawyerOfficeName>משרד עו"ד: אלון סיסו</LawyerOfficeName>
        <LawyerOfficeID>430824</LawyerOfficeID>
        <GroupPartyAlias/>
        <IsConverted>false</IsConverted>
        <LegalEntityNameID>11164</LegalEntityNameID>
        <RepresentatedNamesOfAssistant/>
        <LegalEntityTypeID>4</LegalEntityTypeID>
        <IsVerdictExists>false</IsVerdictExists>
        <IsAsirAzir>false</IsAsirAzir>
        <MainAndSecSpec/>
        <IsPublicationProhibited>false</IsPublicationProhibited>
        <PublicationProhibitedFullName>אלון סיסו</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ירושלים</FullName>
        <LastName>האפוטרופוס הכללי במחוז ירושלים</LastName>
        <PartyPropertyName/>
        <AuthenticationTypeAndNumber>משרדי ממשלה 999009</AuthenticationTypeAndNumber>
        <RepresentatedOrRepresentativesNames/>
        <RepresentatedOrRepresentativesCount>0</RepresentatedOrRepresentativesCount>
        <InvitedBy/>
        <CaseID>77649678</CaseID>
        <CaseJudicialPersonPresentationDS>
          <CaseJudicalPersonActive>
            <CaseID>77649678</CaseID>
            <JudicialPersonID>033663675@GOV.IL</JudicialPersonID>
            <JudicialPersonTypeID>1</JudicialPersonTypeID>
            <JudicialTypeID>1</JudicialTypeID>
            <IsChairman>false</IsChairman>
            <TreatmentStartDate>2024-09-02T07:31:45.707+03:00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215413050</CasePartyID>
        <PartyTypeID>1</PartyTypeID>
        <ActivityStatusID>1</ActivityStatusID>
        <PartyAliasID>2</PartyAliasID>
        <PartyAliasName>נתבע</PartyAliasName>
        <OrdinalNumber>1</OrdinalNumber>
        <LegalEntityID>6760</LegalEntityID>
        <CaseLegalEntityID>112064898</CaseLegalEntityID>
        <AuthenticationTypeID>13</AuthenticationTypeID>
        <AuthenticationTypeName>משרדי ממשלה</AuthenticationTypeName>
        <LegalEntityNumber>999009</LegalEntityNumber>
        <IsMainPartyType>true</IsMainPartyType>
        <CaseDisplayIdentifier>38653-08-20</CaseDisplayIdentifier>
        <CaseTypeID>86</CaseTypeID>
        <CaseTypeName>תיק עזבונות (ת"ע)</CaseTypeName>
        <CaseName>מאגרפטה ואח' נ' האפוטרופוס הכללי במחוז ירושלים ואח'</CaseName>
        <FullAddress>כנפי נשרים 15 ירושלים בית התאומים קומה 3</FullAddress>
        <EmailAddress>AptFamilyCourt@justice.gov.il</EmailAddress>
        <MotionID>0</MotionID>
        <CasePleaID>0</CasePleaID>
        <FatherName xml:space="preserve">        </FatherName>
        <LinkedCaseID>0</LinkedCaseID>
        <PartyID>2</PartyID>
        <CasePartyCategoryID>2</CasePartyCategoryID>
        <LegalEntityAddressID>84620124</LegalEntityAddressID>
        <LegalEntityEmailAddressID>67850595</LegalEntityEmailAddressID>
        <PleaTypeID>253</PleaTypeID>
        <GroupPartyAlias>נתבעים</GroupPartyAlias>
        <IsConverted>false</IsConverted>
        <LegalEntityRegisteredNameID>328160</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ירושלים</PublicationProhibitedFullName>
      </CaseParties>
      <CaseParties>
        <PartyTypeName>צד</PartyTypeName>
        <ProceedingType>כתב טענות עיקרי</ProceedingType>
        <PleaName>כתב התנגדות בעזבונות</PleaName>
        <PartyBelonging>צד א'</PartyBelonging>
        <RoleName>תובע 2</RoleName>
        <IsSubProceeding>FALSE</IsSubProceeding>
        <FullName>אושרה אפטרגוט</FullName>
        <FirstName>אושרה</FirstName>
        <LastName>אפטרגוט</LastName>
        <PartyPropertyName/>
        <AuthenticationTypeAndNumber>ת"ז 029674512</AuthenticationTypeAndNumber>
        <RepresentatedOrRepresentativesNames>יוסף אפטרגוט</RepresentatedOrRepresentativesNames>
        <RepresentatedOrRepresentativesCount>1</RepresentatedOrRepresentativesCount>
        <InvitedBy/>
        <CaseID>77649678</CaseID>
        <CaseJudicialPersonPresentationDS>
          <CaseJudicalPersonActive>
            <CaseID>77649678</CaseID>
            <JudicialPersonID>033663675@GOV.IL</JudicialPersonID>
            <JudicialPersonTypeID>1</JudicialPersonTypeID>
            <JudicialTypeID>1</JudicialTypeID>
            <IsChairman>false</IsChairman>
            <TreatmentStartDate>2024-09-02T07:31:45.707+03:00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215413437</CasePartyID>
        <PartyTypeID>1</PartyTypeID>
        <ActivityStatusID>1</ActivityStatusID>
        <PartyAliasID>1</PartyAliasID>
        <PartyAliasName>תובע</PartyAliasName>
        <OrdinalNumber>2</OrdinalNumber>
        <LegalEntityID>12770197</LegalEntityID>
        <CaseLegalEntityID>112065014</CaseLegalEntityID>
        <AuthenticationTypeID>1</AuthenticationTypeID>
        <AuthenticationTypeName>ת"ז</AuthenticationTypeName>
        <LegalEntityNumber>029674512</LegalEntityNumber>
        <IsMainPartyType>true</IsMainPartyType>
        <CaseDisplayIdentifier>38653-08-20</CaseDisplayIdentifier>
        <CaseTypeID>86</CaseTypeID>
        <CaseTypeName>תיק עזבונות (ת"ע)</CaseTypeName>
        <CaseName>מאגרפטה ואח' נ' האפוטרופוס הכללי במחוז ירושלים ואח'</CaseName>
        <FullAddress/>
        <MotionID>0</MotionID>
        <CasePleaID>0</CasePleaID>
        <FatherName>יוסף</FatherName>
        <LinkedCaseID>0</LinkedCaseID>
        <PartyID>1</PartyID>
        <CasePartyCategoryID>2</CasePartyCategoryID>
        <PleaTypeID>253</PleaTypeID>
        <GroupPartyAlias>תובעים</GroupPartyAlias>
        <IsConverted>false</IsConverted>
        <LegalEntityRegisteredNameID>8978253</LegalEntityRegisteredNameID>
        <LegalEntityNameID>90082922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אושרה אפטרגוט</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אהרן לוי</FullName>
        <FirstName>אהרן</FirstName>
        <LastName>לוי</LastName>
        <PartyPropertyName/>
        <AuthenticationTypeAndNumber>ת"ז 056419336</AuthenticationTypeAndNumber>
        <RepresentatedOrRepresentativesNames>אלון סיסו</RepresentatedOrRepresentativesNames>
        <RepresentatedOrRepresentativesCount>1</RepresentatedOrRepresentativesCount>
        <InvitedBy/>
        <CaseID>77649678</CaseID>
        <CaseJudicialPersonPresentationDS>
          <CaseJudicalPersonActive>
            <CaseID>77649678</CaseID>
            <JudicialPersonID>033663675@GOV.IL</JudicialPersonID>
            <JudicialPersonTypeID>1</JudicialPersonTypeID>
            <JudicialTypeID>1</JudicialTypeID>
            <IsChairman>false</IsChairman>
            <TreatmentStartDate>2024-09-02T07:31:45.707+03:00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215413048</CasePartyID>
        <PartyTypeID>1</PartyTypeID>
        <ActivityStatusID>1</ActivityStatusID>
        <PartyAliasID>2</PartyAliasID>
        <PartyAliasName>נתבע</PartyAliasName>
        <OrdinalNumber>2</OrdinalNumber>
        <LegalEntityID>6196799</LegalEntityID>
        <CaseLegalEntityID>112064896</CaseLegalEntityID>
        <AuthenticationTypeID>1</AuthenticationTypeID>
        <AuthenticationTypeName>ת"ז</AuthenticationTypeName>
        <LegalEntityNumber>056419336</LegalEntityNumber>
        <IsMainPartyType>true</IsMainPartyType>
        <CaseDisplayIdentifier>38653-08-20</CaseDisplayIdentifier>
        <CaseTypeID>86</CaseTypeID>
        <CaseTypeName>תיק עזבונות (ת"ע)</CaseTypeName>
        <CaseName>מאגרפטה ואח' נ' האפוטרופוס הכללי במחוז ירושלים ואח'</CaseName>
        <FullAddress>החרובים 73 קריית ים </FullAddress>
        <MotionID>0</MotionID>
        <CasePleaID>0</CasePleaID>
        <FatherName>נסים</FatherName>
        <LinkedCaseID>0</LinkedCaseID>
        <PartyID>2</PartyID>
        <CasePartyCategoryID>2</CasePartyCategoryID>
        <LegalEntityAddressID>84239747</LegalEntityAddressID>
        <PleaTypeID>253</PleaTypeID>
        <GroupPartyAlias>נתבעים</GroupPartyAlias>
        <IsConverted>false</IsConverted>
        <LegalEntityRegisteredNameID>3158428</LegalEntityRegisteredNameID>
        <LegalEntityNameID>90082873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אהרן לוי</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מזל לוי (המנוח)</FullName>
        <FirstName>מזל</FirstName>
        <LastName>לוי</LastName>
        <PartyPropertyID>12</PartyPropertyID>
        <PartyPropertyName/>
        <AuthenticationTypeAndNumber>ת"ז 041534322</AuthenticationTypeAndNumber>
        <RepresentatedOrRepresentativesNames>אלון סיסו</RepresentatedOrRepresentativesNames>
        <RepresentatedOrRepresentativesCount>1</RepresentatedOrRepresentativesCount>
        <InvitedBy/>
        <CaseID>77649678</CaseID>
        <CaseJudicialPersonPresentationDS>
          <CaseJudicalPersonActive>
            <CaseID>77649678</CaseID>
            <JudicialPersonID>033663675@GOV.IL</JudicialPersonID>
            <JudicialPersonTypeID>1</JudicialPersonTypeID>
            <JudicialTypeID>1</JudicialTypeID>
            <IsChairman>false</IsChairman>
            <TreatmentStartDate>2024-09-02T07:31:45.707+03:00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215413206</CasePartyID>
        <PartyTypeID>1</PartyTypeID>
        <ActivityStatusID>1</ActivityStatusID>
        <PartyAliasID>2</PartyAliasID>
        <PartyAliasName>נתבע</PartyAliasName>
        <OrdinalNumber>3</OrdinalNumber>
        <LegalEntityID>78614110</LegalEntityID>
        <CaseLegalEntityID>112064953</CaseLegalEntityID>
        <AuthenticationTypeID>1</AuthenticationTypeID>
        <AuthenticationTypeName>ת"ז</AuthenticationTypeName>
        <LegalEntityNumber>041534322</LegalEntityNumber>
        <IsMainPartyType>true</IsMainPartyType>
        <CaseDisplayIdentifier>38653-08-20</CaseDisplayIdentifier>
        <CaseTypeID>86</CaseTypeID>
        <CaseTypeName>תיק עזבונות (ת"ע)</CaseTypeName>
        <CaseName>מאגרפטה ואח' נ' האפוטרופוס הכללי במחוז ירושלים ואח'</CaseName>
        <FullAddress/>
        <MotionID>0</MotionID>
        <CasePleaID>0</CasePleaID>
        <FatherName>אברהם</FatherName>
        <LinkedCaseID>0</LinkedCaseID>
        <PartyID>2</PartyID>
        <CasePartyCategoryID>2</CasePartyCategoryID>
        <PleaTypeID>253</PleaTypeID>
        <GroupPartyAlias>נתבעים</GroupPartyAlias>
        <IsConverted>false</IsConverted>
        <LegalEntityRegisteredNameID>8931012</LegalEntityRegisteredNameID>
        <LegalEntityNameID>90082901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מזל לוי (המנוח)</PublicationProhibitedFullName>
      </CaseParties>
      <CaseParties>
        <PartyTypeName>צד</PartyTypeName>
        <ProceedingType>כתב טענות עיקרי</ProceedingType>
        <PleaName>כתב התנגדות בעזבונות</PleaName>
        <PartyBelonging>צד ב'</PartyBelonging>
        <RoleName>נתבע 4</RoleName>
        <IsSubProceeding>FALSE</IsSubProceeding>
        <FullName>ציונה מהגרפטה</FullName>
        <FirstName>ציונה</FirstName>
        <LastName>מהגרפטה</LastName>
        <PartyPropertyName/>
        <AuthenticationTypeAndNumber>ת"ז 052562105</AuthenticationTypeAndNumber>
        <RepresentatedOrRepresentativesNames/>
        <RepresentatedOrRepresentativesCount>0</RepresentatedOrRepresentativesCount>
        <InvitedBy/>
        <CaseID>77649678</CaseID>
        <CaseJudicialPersonPresentationDS>
          <CaseJudicalPersonActive>
            <CaseID>77649678</CaseID>
            <JudicialPersonID>033663675@GOV.IL</JudicialPersonID>
            <JudicialPersonTypeID>1</JudicialPersonTypeID>
            <JudicialTypeID>1</JudicialTypeID>
            <IsChairman>false</IsChairman>
            <TreatmentStartDate>2024-09-02T07:31:45.707+03:00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217816610</CasePartyID>
        <PartyTypeID>1</PartyTypeID>
        <ActivityStatusID>1</ActivityStatusID>
        <PartyAliasID>2</PartyAliasID>
        <PartyAliasName>נתבע</PartyAliasName>
        <OrdinalNumber>4</OrdinalNumber>
        <LegalEntityID>16639739</LegalEntityID>
        <CaseLegalEntityID>112802339</CaseLegalEntityID>
        <AuthenticationTypeID>1</AuthenticationTypeID>
        <AuthenticationTypeName>ת"ז</AuthenticationTypeName>
        <LegalEntityNumber>052562105</LegalEntityNumber>
        <IsMainPartyType>true</IsMainPartyType>
        <CaseDisplayIdentifier>38653-08-20</CaseDisplayIdentifier>
        <CaseTypeID>86</CaseTypeID>
        <CaseTypeName>תיק עזבונות (ת"ע)</CaseTypeName>
        <CaseName>מאגרפטה ואח' נ' האפוטרופוס הכללי במחוז ירושלים ואח'</CaseName>
        <FullAddress>פרל חיים 8 דירה 5 בני ברק </FullAddress>
        <MotionID>0</MotionID>
        <CasePleaID>0</CasePleaID>
        <FatherName>נסים</FatherName>
        <LinkedCaseID>0</LinkedCaseID>
        <PartyID>2</PartyID>
        <CasePartyCategoryID>2</CasePartyCategoryID>
        <LegalEntityAddressID>86607089</LegalEntityAddressID>
        <PleaTypeID>253</PleaTypeID>
        <GroupPartyAlias>נתבעים</GroupPartyAlias>
        <IsConverted>false</IsConverted>
        <LegalEntityRegisteredNameID>6752105</LegalEntityRegisteredNameID>
        <LegalEntityNameID>90378052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ציונה מהגרפטה</PublicationProhibitedFullName>
      </CaseParties>
      <CaseParties>
        <PartyTypeName>צד</PartyTypeName>
        <ProceedingType>כתב טענות עיקרי</ProceedingType>
        <PleaName>כתב התנגדות בעזבונות</PleaName>
        <PartyBelonging>צד ב'</PartyBelonging>
        <RoleName>נתבע 5</RoleName>
        <IsSubProceeding>FALSE</IsSubProceeding>
        <FullName>מרים ישראל</FullName>
        <FirstName>מרים</FirstName>
        <LastName>ישראל</LastName>
        <PartyPropertyName/>
        <AuthenticationTypeAndNumber>ת"ז 055892400</AuthenticationTypeAndNumber>
        <RepresentatedOrRepresentativesNames>מיכל קורינאלדי כ</RepresentatedOrRepresentativesNames>
        <RepresentatedOrRepresentativesCount>1</RepresentatedOrRepresentativesCount>
        <InvitedBy/>
        <CaseID>77649678</CaseID>
        <CaseJudicialPersonPresentationDS>
          <CaseJudicalPersonActive>
            <CaseID>77649678</CaseID>
            <JudicialPersonID>033663675@GOV.IL</JudicialPersonID>
            <JudicialPersonTypeID>1</JudicialPersonTypeID>
            <JudicialTypeID>1</JudicialTypeID>
            <IsChairman>false</IsChairman>
            <TreatmentStartDate>2024-09-02T07:31:45.707+03:00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218813242</CasePartyID>
        <PartyTypeID>1</PartyTypeID>
        <ActivityStatusID>1</ActivityStatusID>
        <PartyAliasID>2</PartyAliasID>
        <PartyAliasName>נתבע</PartyAliasName>
        <OrdinalNumber>5</OrdinalNumber>
        <LegalEntityID>79362085</LegalEntityID>
        <CaseLegalEntityID>113100623</CaseLegalEntityID>
        <AuthenticationTypeID>1</AuthenticationTypeID>
        <AuthenticationTypeName>ת"ז</AuthenticationTypeName>
        <LegalEntityNumber>055892400</LegalEntityNumber>
        <IsMainPartyType>true</IsMainPartyType>
        <CaseDisplayIdentifier>38653-08-20</CaseDisplayIdentifier>
        <CaseTypeID>86</CaseTypeID>
        <CaseTypeName>תיק עזבונות (ת"ע)</CaseTypeName>
        <CaseName>מאגרפטה ואח' נ' האפוטרופוס הכללי במחוז ירושלים ואח'</CaseName>
        <FullAddress/>
        <MotionID>0</MotionID>
        <CasePleaID>0</CasePleaID>
        <FatherName>נסים</FatherName>
        <LinkedCaseID>0</LinkedCaseID>
        <PartyID>2</PartyID>
        <CasePartyCategoryID>2</CasePartyCategoryID>
        <PleaTypeID>253</PleaTypeID>
        <GroupPartyAlias>נתבעים</GroupPartyAlias>
        <IsConverted>false</IsConverted>
        <LegalEntityRegisteredNameID>9319014</LegalEntityRegisteredNameID>
        <LegalEntityNameID>90500457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ישראל</PublicationProhibitedFullName>
      </CaseParties>
    </CasePartiesSelectionDS>
    <DecisionName>פסק דין  שניתנה ע"י  הילה גלבוע</DecisionName>
    <CourtDisplayName>בית משפט לענייני משפחה בירושלים</CourtDisplayName>
    <IsCaseJudgePanel>false</IsCaseJudgePanel>
    <DecisionSignatureDate>2024-09-15T07:52:56.5882597+03:00</DecisionSignatureDate>
    <OpenCaseDate>2020-08-18T12:00:00+03:00</OpenCaseDate>
    <CaseFeeSum>0.000</CaseFeeSum>
    <DecisionTypeID>2</DecisionTypeID>
    <DecisionSignatureUserName>הילה גלבוע</DecisionSignatureUserName>
    <DecisionSignatureDateHebrew>2024-09-15T07:52:56.5882597+03:00</DecisionSignatureDateHebrew>
    <DecisionWriterID>033663675@GOV.IL</DecisionWriterID>
    <CourtAddress>רח' חשין 6, ירושלים 9515601</CourtAddress>
    <IsAutoTextInCaseExist>false</IsAutoTextInCaseExist>
    <DecisionSignatureRoleName>שופט</DecisionSignatureRoleName>
    <DecisionSignatureUserTitleName>שופטת</DecisionSignatureUserTitleName>
    <InMatterOfDescription>המנוח</InMatterOfDescription>
    <CaseName>מאגרפטה ואח' נ' האפוטרופוס הכללי במחוז ירושלים ואח'</CaseName>
    <DecisionNumberInCase>34</DecisionNumberInCase>
  </dt_Decision>
  <dt_DecisionCase>
    <DecisionID>0</DecisionID>
    <CaseID>77649678</CaseID>
    <CaseJudicialPersonPresentationDS>
      <CaseJudicalPersonActive>
        <CaseID>77649678</CaseID>
        <JudicialPersonID>033663675@GOV.IL</JudicialPersonID>
        <JudicialPersonTypeID>1</JudicialPersonTypeID>
        <JudicialTypeID>1</JudicialTypeID>
        <IsChairman>false</IsChairman>
        <TreatmentStartDate>2024-09-02T07:31:45.707+03:00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iesSelectionDS>
      <CaseParties>
        <PartyTypeName>מסייע</PartyTypeName>
        <ProceedingType>כתב טענות עיקרי</ProceedingType>
        <PleaName>כתב התנגדות בעזבונות</PleaName>
        <PartyBelonging> - </PartyBelonging>
        <RoleName>אחר</RoleName>
        <IsSubProceeding>FALSE</IsSubProceeding>
        <FullName>הסיוע המשפטי - מחוז ירושלים</FullName>
        <LastName>הסיוע המשפטי - מחוז ירושלים</LastName>
        <PartyPropertyName/>
        <AuthenticationTypeAndNumber>גופים על פי דין 513436330</AuthenticationTypeAndNumber>
        <RepresentatedOrRepresentativesNames/>
        <RepresentatedOrRepresentativesCount>0</RepresentatedOrRepresentativesCount>
        <InvitedBy/>
        <CaseID>77649678</CaseID>
        <CaseJudicialPersonPresentationDS>
          <CaseJudicalPersonActive>
            <CaseID>77649678</CaseID>
            <JudicialPersonID>033663675@GOV.IL</JudicialPersonID>
            <JudicialPersonTypeID>1</JudicialPersonTypeID>
            <JudicialTypeID>1</JudicialTypeID>
            <IsChairman>false</IsChairman>
            <TreatmentStartDate>2024-09-02T07:31:45.707+03:00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218662032</CasePartyID>
        <PartyTypeID>3</PartyTypeID>
        <ActivityStatusID>1</ActivityStatusID>
        <LegalEntityID>15868479</LegalEntityID>
        <CaseLegalEntityID>113055566</CaseLegalEntityID>
        <AssistantRoleID>33</AssistantRoleID>
        <AuthenticationTypeID>17</AuthenticationTypeID>
        <AuthenticationTypeName>גופים על פי דין</AuthenticationTypeName>
        <LegalEntityNumber>513436330</LegalEntityNumber>
        <IsMainPartyType>true</IsMainPartyType>
        <CaseDisplayIdentifier>38653-08-20</CaseDisplayIdentifier>
        <CaseTypeID>86</CaseTypeID>
        <CaseTypeName>תיק עזבונות (ת"ע)</CaseTypeName>
        <CaseName>מאגרפטה ואח' נ' האפוטרופוס הכללי במחוז ירושלים ואח'</CaseName>
        <FullAddress>הסורג 1 ירושלים בית מצפה קומה 2</FullAddress>
        <EmailAddress>jer-siyualaw@justice.gov.il</EmailAddress>
        <MotionID>0</MotionID>
        <CasePleaID>0</CasePleaID>
        <LinkedCaseID>0</LinkedCaseID>
        <PartyID>1</PartyID>
        <CasePartyCategoryID>2</CasePartyCategoryID>
        <LegalEntityAddressID>83024330</LegalEntityAddressID>
        <LegalEntityEmailAddressID>67961937</LegalEntityEmailAddressID>
        <PleaTypeID>253</PleaTypeID>
        <GroupPartyAlias/>
        <IsConverted>false</IsConverted>
        <LegalEntityRegisteredNameID>6018550</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ירושלים</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יוסף אפטרגוט</FullName>
        <FirstName>יוסף</FirstName>
        <LastName>אפטרגוט</LastName>
        <PartyPropertyName/>
        <AuthenticationTypeAndNumber>מ.ר. 19268</AuthenticationTypeAndNumber>
        <RepresentatedOrRepresentativesNames>אושרה אפטרגוט</RepresentatedOrRepresentativesNames>
        <RepresentatedOrRepresentativesCount>1</RepresentatedOrRepresentativesCount>
        <InvitedBy/>
        <CaseID>77649678</CaseID>
        <CaseJudicialPersonPresentationDS>
          <CaseJudicalPersonActive>
            <CaseID>77649678</CaseID>
            <JudicialPersonID>033663675@GOV.IL</JudicialPersonID>
            <JudicialPersonTypeID>1</JudicialPersonTypeID>
            <JudicialTypeID>1</JudicialTypeID>
            <IsChairman>false</IsChairman>
            <TreatmentStartDate>2024-09-02T07:31:45.707+03:00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215447763</CasePartyID>
        <PartyTypeID>2</PartyTypeID>
        <ActivityStatusID>1</ActivityStatusID>
        <PartyAliasID>20</PartyAliasID>
        <PartyAliasName>בא כוח תובעים</PartyAliasName>
        <LegalEntityID>384281</LegalEntityID>
        <CaseLegalEntityID>112076194</CaseLegalEntityID>
        <AuthenticationTypeID>4</AuthenticationTypeID>
        <AuthenticationTypeName>מ.ר.</AuthenticationTypeName>
        <LegalEntityNumber>19268</LegalEntityNumber>
        <IsMainPartyType>true</IsMainPartyType>
        <CaseDisplayIdentifier>38653-08-20</CaseDisplayIdentifier>
        <CaseTypeID>86</CaseTypeID>
        <CaseTypeName>תיק עזבונות (ת"ע)</CaseTypeName>
        <CaseName>מאגרפטה ואח' נ' האפוטרופוס הכללי במחוז ירושלים ואח'</CaseName>
        <FullAddress>דרך מנחם בגין 88 תל אביב -יפו ת.ד 51100</FullAddress>
        <EmailAddress>aftergut2@walla.co.il</EmailAddress>
        <MotionID>0</MotionID>
        <CasePleaID>0</CasePleaID>
        <LinkedCaseID>0</LinkedCaseID>
        <PartyID>1</PartyID>
        <CasePartyCategoryID>2</CasePartyCategoryID>
        <LegalEntityAddressID>89296913</LegalEntityAddressID>
        <LegalEntityEmailAddressID>68384249</LegalEntityEmailAddressID>
        <PleaTypeID>253</PleaTypeID>
        <LawyerOfficeName>משרד עו"ד: יוסף אפטרגוט</LawyerOfficeName>
        <LawyerOfficeID>424925</LawyerOfficeID>
        <GroupPartyAlias/>
        <IsConverted>false</IsConverted>
        <LegalEntityNameID>5265</LegalEntityNameID>
        <RepresentatedNamesOfAssistant/>
        <LegalEntityTypeID>4</LegalEntityTypeID>
        <IsVerdictExists>false</IsVerdictExists>
        <IsAsirAzir>false</IsAsirAzir>
        <MainAndSecSpec/>
        <IsPublicationProhibited>false</IsPublicationProhibited>
        <PublicationProhibitedFullName>יוסף אפטרגוט</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מיכל קורינאלדי כ</FullName>
        <FirstName>מיכל</FirstName>
        <LastName>קורינאלדי כ</LastName>
        <PartyPropertyName/>
        <AuthenticationTypeAndNumber>מ.ר. 31752</AuthenticationTypeAndNumber>
        <RepresentatedOrRepresentativesNames>מרים ישראל</RepresentatedOrRepresentativesNames>
        <RepresentatedOrRepresentativesCount>1</RepresentatedOrRepresentativesCount>
        <InvitedBy/>
        <CaseID>77649678</CaseID>
        <CaseJudicialPersonPresentationDS>
          <CaseJudicalPersonActive>
            <CaseID>77649678</CaseID>
            <JudicialPersonID>033663675@GOV.IL</JudicialPersonID>
            <JudicialPersonTypeID>1</JudicialPersonTypeID>
            <JudicialTypeID>1</JudicialTypeID>
            <IsChairman>false</IsChairman>
            <TreatmentStartDate>2024-09-02T07:31:45.707+03:00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218813280</CasePartyID>
        <PartyTypeID>2</PartyTypeID>
        <ActivityStatusID>1</ActivityStatusID>
        <PartyAliasID>21</PartyAliasID>
        <PartyAliasName>בא כוח נתבעים</PartyAliasName>
        <LegalEntityID>406718</LegalEntityID>
        <CaseLegalEntityID>113100632</CaseLegalEntityID>
        <AuthenticationTypeID>4</AuthenticationTypeID>
        <AuthenticationTypeName>מ.ר.</AuthenticationTypeName>
        <LegalEntityNumber>31752</LegalEntityNumber>
        <IsMainPartyType>true</IsMainPartyType>
        <CaseDisplayIdentifier>38653-08-20</CaseDisplayIdentifier>
        <CaseTypeID>86</CaseTypeID>
        <CaseTypeName>תיק עזבונות (ת"ע)</CaseTypeName>
        <CaseName>מאגרפטה ואח' נ' האפוטרופוס הכללי במחוז ירושלים ואח'</CaseName>
        <FullAddress>קרן היסוד 36 ירושלים </FullAddress>
        <EmailAddress>michal@corinaldi.co.il</EmailAddress>
        <MotionID>0</MotionID>
        <CasePleaID>0</CasePleaID>
        <LinkedCaseID>0</LinkedCaseID>
        <PartyID>2</PartyID>
        <CasePartyCategoryID>2</CasePartyCategoryID>
        <LegalEntityAddressID>73958035</LegalEntityAddressID>
        <LegalEntityEmailAddressID>67830665</LegalEntityEmailAddressID>
        <PleaTypeID>253</PleaTypeID>
        <LawyerOfficeName>משרד עו"ד: גלעד קורנלדי</LawyerOfficeName>
        <LawyerOfficeID>431888</LawyerOfficeID>
        <GroupPartyAlias/>
        <IsConverted>false</IsConverted>
        <LegalEntityNameID>27702</LegalEntityNameID>
        <RepresentatedNamesOfAssistant/>
        <LegalEntityTypeID>4</LegalEntityTypeID>
        <IsVerdictExists>false</IsVerdictExists>
        <IsAsirAzir>false</IsAsirAzir>
        <MainAndSecSpec/>
        <IsPublicationProhibited>false</IsPublicationProhibited>
        <PublicationProhibitedFullName>מיכל קורינאלדי כ</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סיגלית מאגרפטה</FullName>
        <FirstName>סיגלית</FirstName>
        <LastName>מאגרפטה</LastName>
        <PartyPropertyName/>
        <AuthenticationTypeAndNumber>ת"ז 023610082</AuthenticationTypeAndNumber>
        <RepresentatedOrRepresentativesNames/>
        <RepresentatedOrRepresentativesCount>0</RepresentatedOrRepresentativesCount>
        <InvitedBy/>
        <CaseID>77649678</CaseID>
        <CaseJudicialPersonPresentationDS>
          <CaseJudicalPersonActive>
            <CaseID>77649678</CaseID>
            <JudicialPersonID>033663675@GOV.IL</JudicialPersonID>
            <JudicialPersonTypeID>1</JudicialPersonTypeID>
            <JudicialTypeID>1</JudicialTypeID>
            <IsChairman>false</IsChairman>
            <TreatmentStartDate>2024-09-02T07:31:45.707+03:00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215413047</CasePartyID>
        <PartyTypeID>1</PartyTypeID>
        <ActivityStatusID>1</ActivityStatusID>
        <PartyAliasID>1</PartyAliasID>
        <PartyAliasName>תובע</PartyAliasName>
        <OrdinalNumber>1</OrdinalNumber>
        <LegalEntityID>78288457</LegalEntityID>
        <CaseLegalEntityID>112064895</CaseLegalEntityID>
        <AuthenticationTypeID>1</AuthenticationTypeID>
        <AuthenticationTypeName>ת"ז</AuthenticationTypeName>
        <LegalEntityNumber>023610082</LegalEntityNumber>
        <IsMainPartyType>true</IsMainPartyType>
        <CaseDisplayIdentifier>38653-08-20</CaseDisplayIdentifier>
        <CaseTypeID>86</CaseTypeID>
        <CaseTypeName>תיק עזבונות (ת"ע)</CaseTypeName>
        <CaseName>מאגרפטה ואח' נ' האפוטרופוס הכללי במחוז ירושלים ואח'</CaseName>
        <FullAddress>סנהדריה המורחבת 111/6 ירושלים </FullAddress>
        <MotionID>0</MotionID>
        <CasePleaID>0</CasePleaID>
        <FatherName>נסים</FatherName>
        <LinkedCaseID>0</LinkedCaseID>
        <PartyID>1</PartyID>
        <CasePartyCategoryID>2</CasePartyCategoryID>
        <LegalEntityAddressID>84239746</LegalEntityAddressID>
        <PleaTypeID>253</PleaTypeID>
        <GroupPartyAlias>תובעים</GroupPartyAlias>
        <IsConverted>false</IsConverted>
        <LegalEntityRegisteredNameID>9225323</LegalEntityRegisteredNameID>
        <LegalEntityNameID>90082872</LegalEntityNameID>
        <RepresentatedNamesOfAssistant/>
        <LegalEntityTypeID>1</LegalEntityTypeID>
        <IsVerdictExists>false</IsVerdictExists>
        <IsAsirAzir>false</IsAsirAzir>
        <MainAndSecSpec/>
        <IsPublicationProhibited>false</IsPublicationProhibited>
        <PublicationProhibitedFullName>סיגלית מאגרפטה</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אלון סיסו</FullName>
        <FirstName>אלון</FirstName>
        <LastName>סיסו</LastName>
        <PartyPropertyName/>
        <AuthenticationTypeAndNumber>מ.ר. 32375</AuthenticationTypeAndNumber>
        <RepresentatedOrRepresentativesNames>אהרן לוי, מזל לוי</RepresentatedOrRepresentativesNames>
        <RepresentatedOrRepresentativesCount>2</RepresentatedOrRepresentativesCount>
        <InvitedBy/>
        <CaseID>77649678</CaseID>
        <CaseJudicialPersonPresentationDS>
          <CaseJudicalPersonActive>
            <CaseID>77649678</CaseID>
            <JudicialPersonID>033663675@GOV.IL</JudicialPersonID>
            <JudicialPersonTypeID>1</JudicialPersonTypeID>
            <JudicialTypeID>1</JudicialTypeID>
            <IsChairman>false</IsChairman>
            <TreatmentStartDate>2024-09-02T07:31:45.707+03:00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215413049</CasePartyID>
        <PartyTypeID>2</PartyTypeID>
        <ActivityStatusID>1</ActivityStatusID>
        <PartyAliasID>21</PartyAliasID>
        <PartyAliasName>בא כוח נתבעים</PartyAliasName>
        <OrdinalNumber>1</OrdinalNumber>
        <LegalEntityID>390180</LegalEntityID>
        <CaseLegalEntityID>112064897</CaseLegalEntityID>
        <AuthenticationTypeID>4</AuthenticationTypeID>
        <AuthenticationTypeName>מ.ר.</AuthenticationTypeName>
        <LegalEntityNumber>32375</LegalEntityNumber>
        <IsMainPartyType>true</IsMainPartyType>
        <CaseDisplayIdentifier>38653-08-20</CaseDisplayIdentifier>
        <CaseTypeID>86</CaseTypeID>
        <CaseTypeName>תיק עזבונות (ת"ע)</CaseTypeName>
        <CaseName>מאגרפטה ואח' נ' האפוטרופוס הכללי במחוז ירושלים ואח'</CaseName>
        <FullAddress>משה שרת 35 קריית ים </FullAddress>
        <EmailAddress>alonsisso@gmail.com</EmailAddress>
        <MotionID>0</MotionID>
        <CasePleaID>0</CasePleaID>
        <LinkedCaseID>0</LinkedCaseID>
        <PartyID>2</PartyID>
        <CasePartyCategoryID>2</CasePartyCategoryID>
        <LegalEntityAddressID>433162</LegalEntityAddressID>
        <LegalEntityEmailAddressID>67917811</LegalEntityEmailAddressID>
        <PleaTypeID>253</PleaTypeID>
        <LawyerOfficeName>משרד עו"ד: אלון סיסו</LawyerOfficeName>
        <LawyerOfficeID>430824</LawyerOfficeID>
        <GroupPartyAlias/>
        <IsConverted>false</IsConverted>
        <LegalEntityNameID>11164</LegalEntityNameID>
        <RepresentatedNamesOfAssistant/>
        <LegalEntityTypeID>4</LegalEntityTypeID>
        <IsVerdictExists>false</IsVerdictExists>
        <IsAsirAzir>false</IsAsirAzir>
        <MainAndSecSpec/>
        <IsPublicationProhibited>false</IsPublicationProhibited>
        <PublicationProhibitedFullName>אלון סיסו</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ירושלים</FullName>
        <LastName>האפוטרופוס הכללי במחוז ירושלים</LastName>
        <PartyPropertyName/>
        <AuthenticationTypeAndNumber>משרדי ממשלה 999009</AuthenticationTypeAndNumber>
        <RepresentatedOrRepresentativesNames/>
        <RepresentatedOrRepresentativesCount>0</RepresentatedOrRepresentativesCount>
        <InvitedBy/>
        <CaseID>77649678</CaseID>
        <CaseJudicialPersonPresentationDS>
          <CaseJudicalPersonActive>
            <CaseID>77649678</CaseID>
            <JudicialPersonID>033663675@GOV.IL</JudicialPersonID>
            <JudicialPersonTypeID>1</JudicialPersonTypeID>
            <JudicialTypeID>1</JudicialTypeID>
            <IsChairman>false</IsChairman>
            <TreatmentStartDate>2024-09-02T07:31:45.707+03:00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215413050</CasePartyID>
        <PartyTypeID>1</PartyTypeID>
        <ActivityStatusID>1</ActivityStatusID>
        <PartyAliasID>2</PartyAliasID>
        <PartyAliasName>נתבע</PartyAliasName>
        <OrdinalNumber>1</OrdinalNumber>
        <LegalEntityID>6760</LegalEntityID>
        <CaseLegalEntityID>112064898</CaseLegalEntityID>
        <AuthenticationTypeID>13</AuthenticationTypeID>
        <AuthenticationTypeName>משרדי ממשלה</AuthenticationTypeName>
        <LegalEntityNumber>999009</LegalEntityNumber>
        <IsMainPartyType>true</IsMainPartyType>
        <CaseDisplayIdentifier>38653-08-20</CaseDisplayIdentifier>
        <CaseTypeID>86</CaseTypeID>
        <CaseTypeName>תיק עזבונות (ת"ע)</CaseTypeName>
        <CaseName>מאגרפטה ואח' נ' האפוטרופוס הכללי במחוז ירושלים ואח'</CaseName>
        <FullAddress>כנפי נשרים 15 ירושלים בית התאומים קומה 3</FullAddress>
        <EmailAddress>AptFamilyCourt@justice.gov.il</EmailAddress>
        <MotionID>0</MotionID>
        <CasePleaID>0</CasePleaID>
        <FatherName xml:space="preserve">        </FatherName>
        <LinkedCaseID>0</LinkedCaseID>
        <PartyID>2</PartyID>
        <CasePartyCategoryID>2</CasePartyCategoryID>
        <LegalEntityAddressID>84620124</LegalEntityAddressID>
        <LegalEntityEmailAddressID>67850595</LegalEntityEmailAddressID>
        <PleaTypeID>253</PleaTypeID>
        <GroupPartyAlias>נתבעים</GroupPartyAlias>
        <IsConverted>false</IsConverted>
        <LegalEntityRegisteredNameID>328160</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ירושלים</PublicationProhibitedFullName>
      </CaseParties>
      <CaseParties>
        <PartyTypeName>צד</PartyTypeName>
        <ProceedingType>כתב טענות עיקרי</ProceedingType>
        <PleaName>כתב התנגדות בעזבונות</PleaName>
        <PartyBelonging>צד א'</PartyBelonging>
        <RoleName>תובע 2</RoleName>
        <IsSubProceeding>FALSE</IsSubProceeding>
        <FullName>אושרה אפטרגוט</FullName>
        <FirstName>אושרה</FirstName>
        <LastName>אפטרגוט</LastName>
        <PartyPropertyName/>
        <AuthenticationTypeAndNumber>ת"ז 029674512</AuthenticationTypeAndNumber>
        <RepresentatedOrRepresentativesNames>יוסף אפטרגוט</RepresentatedOrRepresentativesNames>
        <RepresentatedOrRepresentativesCount>1</RepresentatedOrRepresentativesCount>
        <InvitedBy/>
        <CaseID>77649678</CaseID>
        <CaseJudicialPersonPresentationDS>
          <CaseJudicalPersonActive>
            <CaseID>77649678</CaseID>
            <JudicialPersonID>033663675@GOV.IL</JudicialPersonID>
            <JudicialPersonTypeID>1</JudicialPersonTypeID>
            <JudicialTypeID>1</JudicialTypeID>
            <IsChairman>false</IsChairman>
            <TreatmentStartDate>2024-09-02T07:31:45.707+03:00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215413437</CasePartyID>
        <PartyTypeID>1</PartyTypeID>
        <ActivityStatusID>1</ActivityStatusID>
        <PartyAliasID>1</PartyAliasID>
        <PartyAliasName>תובע</PartyAliasName>
        <OrdinalNumber>2</OrdinalNumber>
        <LegalEntityID>12770197</LegalEntityID>
        <CaseLegalEntityID>112065014</CaseLegalEntityID>
        <AuthenticationTypeID>1</AuthenticationTypeID>
        <AuthenticationTypeName>ת"ז</AuthenticationTypeName>
        <LegalEntityNumber>029674512</LegalEntityNumber>
        <IsMainPartyType>true</IsMainPartyType>
        <CaseDisplayIdentifier>38653-08-20</CaseDisplayIdentifier>
        <CaseTypeID>86</CaseTypeID>
        <CaseTypeName>תיק עזבונות (ת"ע)</CaseTypeName>
        <CaseName>מאגרפטה ואח' נ' האפוטרופוס הכללי במחוז ירושלים ואח'</CaseName>
        <FullAddress/>
        <MotionID>0</MotionID>
        <CasePleaID>0</CasePleaID>
        <FatherName>יוסף</FatherName>
        <LinkedCaseID>0</LinkedCaseID>
        <PartyID>1</PartyID>
        <CasePartyCategoryID>2</CasePartyCategoryID>
        <PleaTypeID>253</PleaTypeID>
        <GroupPartyAlias>תובעים</GroupPartyAlias>
        <IsConverted>false</IsConverted>
        <LegalEntityRegisteredNameID>8978253</LegalEntityRegisteredNameID>
        <LegalEntityNameID>90082922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אושרה אפטרגוט</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אהרן לוי</FullName>
        <FirstName>אהרן</FirstName>
        <LastName>לוי</LastName>
        <PartyPropertyName/>
        <AuthenticationTypeAndNumber>ת"ז 056419336</AuthenticationTypeAndNumber>
        <RepresentatedOrRepresentativesNames>אלון סיסו</RepresentatedOrRepresentativesNames>
        <RepresentatedOrRepresentativesCount>1</RepresentatedOrRepresentativesCount>
        <InvitedBy/>
        <CaseID>77649678</CaseID>
        <CaseJudicialPersonPresentationDS>
          <CaseJudicalPersonActive>
            <CaseID>77649678</CaseID>
            <JudicialPersonID>033663675@GOV.IL</JudicialPersonID>
            <JudicialPersonTypeID>1</JudicialPersonTypeID>
            <JudicialTypeID>1</JudicialTypeID>
            <IsChairman>false</IsChairman>
            <TreatmentStartDate>2024-09-02T07:31:45.707+03:00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215413048</CasePartyID>
        <PartyTypeID>1</PartyTypeID>
        <ActivityStatusID>1</ActivityStatusID>
        <PartyAliasID>2</PartyAliasID>
        <PartyAliasName>נתבע</PartyAliasName>
        <OrdinalNumber>2</OrdinalNumber>
        <LegalEntityID>6196799</LegalEntityID>
        <CaseLegalEntityID>112064896</CaseLegalEntityID>
        <AuthenticationTypeID>1</AuthenticationTypeID>
        <AuthenticationTypeName>ת"ז</AuthenticationTypeName>
        <LegalEntityNumber>056419336</LegalEntityNumber>
        <IsMainPartyType>true</IsMainPartyType>
        <CaseDisplayIdentifier>38653-08-20</CaseDisplayIdentifier>
        <CaseTypeID>86</CaseTypeID>
        <CaseTypeName>תיק עזבונות (ת"ע)</CaseTypeName>
        <CaseName>מאגרפטה ואח' נ' האפוטרופוס הכללי במחוז ירושלים ואח'</CaseName>
        <FullAddress>החרובים 73 קריית ים </FullAddress>
        <MotionID>0</MotionID>
        <CasePleaID>0</CasePleaID>
        <FatherName>נסים</FatherName>
        <LinkedCaseID>0</LinkedCaseID>
        <PartyID>2</PartyID>
        <CasePartyCategoryID>2</CasePartyCategoryID>
        <LegalEntityAddressID>84239747</LegalEntityAddressID>
        <PleaTypeID>253</PleaTypeID>
        <GroupPartyAlias>נתבעים</GroupPartyAlias>
        <IsConverted>false</IsConverted>
        <LegalEntityRegisteredNameID>3158428</LegalEntityRegisteredNameID>
        <LegalEntityNameID>90082873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אהרן לוי</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מזל לוי (המנוח)</FullName>
        <FirstName>מזל</FirstName>
        <LastName>לוי</LastName>
        <PartyPropertyID>12</PartyPropertyID>
        <PartyPropertyName/>
        <AuthenticationTypeAndNumber>ת"ז 041534322</AuthenticationTypeAndNumber>
        <RepresentatedOrRepresentativesNames>אלון סיסו</RepresentatedOrRepresentativesNames>
        <RepresentatedOrRepresentativesCount>1</RepresentatedOrRepresentativesCount>
        <InvitedBy/>
        <CaseID>77649678</CaseID>
        <CaseJudicialPersonPresentationDS>
          <CaseJudicalPersonActive>
            <CaseID>77649678</CaseID>
            <JudicialPersonID>033663675@GOV.IL</JudicialPersonID>
            <JudicialPersonTypeID>1</JudicialPersonTypeID>
            <JudicialTypeID>1</JudicialTypeID>
            <IsChairman>false</IsChairman>
            <TreatmentStartDate>2024-09-02T07:31:45.707+03:00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215413206</CasePartyID>
        <PartyTypeID>1</PartyTypeID>
        <ActivityStatusID>1</ActivityStatusID>
        <PartyAliasID>2</PartyAliasID>
        <PartyAliasName>נתבע</PartyAliasName>
        <OrdinalNumber>3</OrdinalNumber>
        <LegalEntityID>78614110</LegalEntityID>
        <CaseLegalEntityID>112064953</CaseLegalEntityID>
        <AuthenticationTypeID>1</AuthenticationTypeID>
        <AuthenticationTypeName>ת"ז</AuthenticationTypeName>
        <LegalEntityNumber>041534322</LegalEntityNumber>
        <IsMainPartyType>true</IsMainPartyType>
        <CaseDisplayIdentifier>38653-08-20</CaseDisplayIdentifier>
        <CaseTypeID>86</CaseTypeID>
        <CaseTypeName>תיק עזבונות (ת"ע)</CaseTypeName>
        <CaseName>מאגרפטה ואח' נ' האפוטרופוס הכללי במחוז ירושלים ואח'</CaseName>
        <FullAddress/>
        <MotionID>0</MotionID>
        <CasePleaID>0</CasePleaID>
        <FatherName>אברהם</FatherName>
        <LinkedCaseID>0</LinkedCaseID>
        <PartyID>2</PartyID>
        <CasePartyCategoryID>2</CasePartyCategoryID>
        <PleaTypeID>253</PleaTypeID>
        <GroupPartyAlias>נתבעים</GroupPartyAlias>
        <IsConverted>false</IsConverted>
        <LegalEntityRegisteredNameID>8931012</LegalEntityRegisteredNameID>
        <LegalEntityNameID>90082901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מזל לוי (המנוח)</PublicationProhibitedFullName>
      </CaseParties>
      <CaseParties>
        <PartyTypeName>צד</PartyTypeName>
        <ProceedingType>כתב טענות עיקרי</ProceedingType>
        <PleaName>כתב התנגדות בעזבונות</PleaName>
        <PartyBelonging>צד ב'</PartyBelonging>
        <RoleName>נתבע 4</RoleName>
        <IsSubProceeding>FALSE</IsSubProceeding>
        <FullName>ציונה מהגרפטה</FullName>
        <FirstName>ציונה</FirstName>
        <LastName>מהגרפטה</LastName>
        <PartyPropertyName/>
        <AuthenticationTypeAndNumber>ת"ז 052562105</AuthenticationTypeAndNumber>
        <RepresentatedOrRepresentativesNames/>
        <RepresentatedOrRepresentativesCount>0</RepresentatedOrRepresentativesCount>
        <InvitedBy/>
        <CaseID>77649678</CaseID>
        <CaseJudicialPersonPresentationDS>
          <CaseJudicalPersonActive>
            <CaseID>77649678</CaseID>
            <JudicialPersonID>033663675@GOV.IL</JudicialPersonID>
            <JudicialPersonTypeID>1</JudicialPersonTypeID>
            <JudicialTypeID>1</JudicialTypeID>
            <IsChairman>false</IsChairman>
            <TreatmentStartDate>2024-09-02T07:31:45.707+03:00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217816610</CasePartyID>
        <PartyTypeID>1</PartyTypeID>
        <ActivityStatusID>1</ActivityStatusID>
        <PartyAliasID>2</PartyAliasID>
        <PartyAliasName>נתבע</PartyAliasName>
        <OrdinalNumber>4</OrdinalNumber>
        <LegalEntityID>16639739</LegalEntityID>
        <CaseLegalEntityID>112802339</CaseLegalEntityID>
        <AuthenticationTypeID>1</AuthenticationTypeID>
        <AuthenticationTypeName>ת"ז</AuthenticationTypeName>
        <LegalEntityNumber>052562105</LegalEntityNumber>
        <IsMainPartyType>true</IsMainPartyType>
        <CaseDisplayIdentifier>38653-08-20</CaseDisplayIdentifier>
        <CaseTypeID>86</CaseTypeID>
        <CaseTypeName>תיק עזבונות (ת"ע)</CaseTypeName>
        <CaseName>מאגרפטה ואח' נ' האפוטרופוס הכללי במחוז ירושלים ואח'</CaseName>
        <FullAddress>פרל חיים 8 דירה 5 בני ברק </FullAddress>
        <MotionID>0</MotionID>
        <CasePleaID>0</CasePleaID>
        <FatherName>נסים</FatherName>
        <LinkedCaseID>0</LinkedCaseID>
        <PartyID>2</PartyID>
        <CasePartyCategoryID>2</CasePartyCategoryID>
        <LegalEntityAddressID>86607089</LegalEntityAddressID>
        <PleaTypeID>253</PleaTypeID>
        <GroupPartyAlias>נתבעים</GroupPartyAlias>
        <IsConverted>false</IsConverted>
        <LegalEntityRegisteredNameID>6752105</LegalEntityRegisteredNameID>
        <LegalEntityNameID>90378052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ציונה מהגרפטה</PublicationProhibitedFullName>
      </CaseParties>
      <CaseParties>
        <PartyTypeName>צד</PartyTypeName>
        <ProceedingType>כתב טענות עיקרי</ProceedingType>
        <PleaName>כתב התנגדות בעזבונות</PleaName>
        <PartyBelonging>צד ב'</PartyBelonging>
        <RoleName>נתבע 5</RoleName>
        <IsSubProceeding>FALSE</IsSubProceeding>
        <FullName>מרים ישראל</FullName>
        <FirstName>מרים</FirstName>
        <LastName>ישראל</LastName>
        <PartyPropertyName/>
        <AuthenticationTypeAndNumber>ת"ז 055892400</AuthenticationTypeAndNumber>
        <RepresentatedOrRepresentativesNames>מיכל קורינאלדי כ</RepresentatedOrRepresentativesNames>
        <RepresentatedOrRepresentativesCount>1</RepresentatedOrRepresentativesCount>
        <InvitedBy/>
        <CaseID>77649678</CaseID>
        <CaseJudicialPersonPresentationDS>
          <CaseJudicalPersonActive>
            <CaseID>77649678</CaseID>
            <JudicialPersonID>033663675@GOV.IL</JudicialPersonID>
            <JudicialPersonTypeID>1</JudicialPersonTypeID>
            <JudicialTypeID>1</JudicialTypeID>
            <IsChairman>false</IsChairman>
            <TreatmentStartDate>2024-09-02T07:31:45.707+03:00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218813242</CasePartyID>
        <PartyTypeID>1</PartyTypeID>
        <ActivityStatusID>1</ActivityStatusID>
        <PartyAliasID>2</PartyAliasID>
        <PartyAliasName>נתבע</PartyAliasName>
        <OrdinalNumber>5</OrdinalNumber>
        <LegalEntityID>79362085</LegalEntityID>
        <CaseLegalEntityID>113100623</CaseLegalEntityID>
        <AuthenticationTypeID>1</AuthenticationTypeID>
        <AuthenticationTypeName>ת"ז</AuthenticationTypeName>
        <LegalEntityNumber>055892400</LegalEntityNumber>
        <IsMainPartyType>true</IsMainPartyType>
        <CaseDisplayIdentifier>38653-08-20</CaseDisplayIdentifier>
        <CaseTypeID>86</CaseTypeID>
        <CaseTypeName>תיק עזבונות (ת"ע)</CaseTypeName>
        <CaseName>מאגרפטה ואח' נ' האפוטרופוס הכללי במחוז ירושלים ואח'</CaseName>
        <FullAddress/>
        <MotionID>0</MotionID>
        <CasePleaID>0</CasePleaID>
        <FatherName>נסים</FatherName>
        <LinkedCaseID>0</LinkedCaseID>
        <PartyID>2</PartyID>
        <CasePartyCategoryID>2</CasePartyCategoryID>
        <PleaTypeID>253</PleaTypeID>
        <GroupPartyAlias>נתבעים</GroupPartyAlias>
        <IsConverted>false</IsConverted>
        <LegalEntityRegisteredNameID>9319014</LegalEntityRegisteredNameID>
        <LegalEntityNameID>90500457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ישראל</PublicationProhibitedFullName>
      </CaseParties>
    </CasePartiesSelectionDS>
    <CaseName>מאגרפטה ואח' נ' האפוטרופוס הכללי במחוז ירושלים ואח'</CaseName>
    <CaseDisplayIdentifier>38653-08-20</CaseDisplayIdentifier>
    <CaseInterestID>161</CaseInterestID>
    <CaseTypeShortName>ת"ע</CaseTypeShortName>
  </dt_DecisionCase>
  <dt_DecisionJudgePanel>
    <JudgeID>033663675@GOV.IL</JudgeID>
    <DisplayName>הילה גלבוע</DisplayName>
    <RoleName>שופט</RoleName>
    <UserTitleName>שופטת</UserTitleName>
  </dt_DecisionJudgePanel>
  <dt_LegalEntityDetails>
    <Fax>03-5615183</Fax>
    <Phone>03-5615180</Phone>
    <AddressDesc>ת.ד 51100</AddressDesc>
    <PartyID>1</PartyID>
    <PartyTypeID>2</PartyTypeID>
    <DecisionID>0</DecisionID>
    <StreetName>דרך מנחם בגין 88</StreetName>
    <ZipCode>6713835</ZipCode>
    <CityName>תל אביב -יפו</CityName>
    <FullName>יוסף אפטרגוט</FullName>
    <Email>aftergut2@walla.co.il</Email>
    <IsPublicationProhibited>false</IsPublicationProhibited>
  </dt_LegalEntityDetails>
  <dt_LegalEntityDetails>
    <Fax>02-6467078</Fax>
    <Phone>073-3926247</Phone>
    <AddressDesc>בית מצפה קומה 2</AddressDesc>
    <PartyID>1</PartyID>
    <PartyTypeID>3</PartyTypeID>
    <DecisionID>0</DecisionID>
    <AssistantRoleID>33</AssistantRoleID>
    <StreetName>הסורג 1 </StreetName>
    <CityName>ירושלים</CityName>
    <FullName> הסיוע המשפטי - מחוז ירושלים</FullName>
    <Email>jer-siyualaw@justice.gov.il</Email>
    <IsPublicationProhibited>false</IsPublicationProhibited>
  </dt_LegalEntityDetails>
  <dt_LegalEntityDetails>
    <Fax>02-6255510</Fax>
    <Phone>02-6255550</Phone>
    <AddressDesc/>
    <PartyID>2</PartyID>
    <PartyTypeID>2</PartyTypeID>
    <DecisionID>0</DecisionID>
    <StreetName>קרן היסוד 36</StreetName>
    <ZipCode>92149</ZipCode>
    <CityName>ירושלים</CityName>
    <FullName>מיכל קורינאלדי כ</FullName>
    <Email>michal@corinaldi.co.il</Email>
    <IsPublicationProhibited>false</IsPublicationProhibited>
  </dt_LegalEntityDetails>
  <dt_LegalEntityDetails>
    <PartyID>1</PartyID>
    <PartyTypeID>1</PartyTypeID>
    <DecisionID>0</DecisionID>
    <StreetName>סנהדריה המורחבת 111/6</StreetName>
    <CityName>ירושלים</CityName>
    <FullName>סיגלית מאגרפטה</FullName>
    <IsPublicationProhibited>false</IsPublicationProhibited>
  </dt_LegalEntityDetails>
  <dt_LegalEntityDetails>
    <Fax>04-8774388</Fax>
    <Phone>04-8774377</Phone>
    <PartyID>2</PartyID>
    <PartyTypeID>2</PartyTypeID>
    <DecisionID>0</DecisionID>
    <StreetName>משה שרת 35</StreetName>
    <ZipCode>29000</ZipCode>
    <CityName>קריית ים</CityName>
    <FullName>אלון סיסו</FullName>
    <Email>alonsisso@gmail.com</Email>
    <IsPublicationProhibited>false</IsPublicationProhibited>
  </dt_LegalEntityDetails>
  <dt_LegalEntityDetails>
    <Fax>02-6467570</Fax>
    <Phone>02-6215777</Phone>
    <AddressDesc>בית התאומים קומה 3</AddressDesc>
    <PartyID>2</PartyID>
    <PartyTypeID>1</PartyTypeID>
    <DecisionID>0</DecisionID>
    <StreetName>כנפי נשרים 15</StreetName>
    <ZipCode>95464</ZipCode>
    <CityName>ירושלים</CityName>
    <FullName> האפוטרופוס הכללי במחוז ירושלים</FullName>
    <Email>AptFamilyCourt@justice.gov.il</Email>
    <IsPublicationProhibited>false</IsPublicationProhibited>
  </dt_LegalEntityDetails>
  <dt_LegalEntityDetails>
    <PartyID>2</PartyID>
    <PartyTypeID>1</PartyTypeID>
    <DecisionID>0</DecisionID>
    <StreetName>החרובים 73</StreetName>
    <CityName>קריית ים</CityName>
    <FullName>אהרן לוי</FullName>
    <IsPublicationProhibited>false</IsPublicationProhibited>
  </dt_LegalEntityDetails>
  <dt_LegalEntityDetails>
    <PartyID>1</PartyID>
    <PartyTypeID>1</PartyTypeID>
    <DecisionID>0</DecisionID>
    <FullName>אושרה  אפטרגוט</FullName>
    <IsPublicationProhibited>false</IsPublicationProhibited>
  </dt_LegalEntityDetails>
  <dt_LegalEntityDetails>
    <PartyID>2</PartyID>
    <PartyTypeID>1</PartyTypeID>
    <DecisionID>0</DecisionID>
    <FullName>מזל לוי</FullName>
    <IsPublicationProhibited>false</IsPublicationProhibited>
  </dt_LegalEntityDetails>
  <dt_LegalEntityDetails>
    <PartyID>2</PartyID>
    <PartyTypeID>1</PartyTypeID>
    <DecisionID>0</DecisionID>
    <StreetName>פרל חיים 8 דירה 5</StreetName>
    <CityName>בני ברק</CityName>
    <FullName>ציונה מהגרפטה</FullName>
    <IsPublicationProhibited>false</IsPublicationProhibited>
  </dt_LegalEntityDetails>
  <dt_LegalEntityDetails>
    <PartyID>2</PartyID>
    <PartyTypeID>1</PartyTypeID>
    <DecisionID>0</DecisionID>
    <FullName>מרים ישראל</FullName>
    <IsPublicationProhibited>false</IsPublicationProhibited>
  </dt_LegalEntityDetails>
  <dt_CaseJudicalPersonActive>
    <CaseJudicalPerson>שופטת הילה גלבוע</CaseJudicalPerson>
  </dt_CaseJudicalPersonActive>
  <dt_Sitting>
    <PreviousMeetingDate>2023-07-05T11:30:00+03:00</PreviousMeetingDate>
    <PreviousSittingTypeID>1</PreviousSittingTypeID>
    <PreviousMeetingDisplayName>שופטת הילה גלבוע</PreviousMeetingDisplayName>
    <PreviousMeetingRoleName>שופט</PreviousMeetingRoleName>
    <PreviousMeetingUserTitleName>שופטת</PreviousMeetingUserTitleName>
    <PreviousMeetingUserUPN>033663675@GOV.IL</PreviousMeetingUserUPN>
  </dt_Sitting>
  <dt_InMatterOfCase>
    <InMatterOfCaseID>56426</InMatterOfCaseID>
    <AuthenticationTypeID>1</AuthenticationTypeID>
    <AuthenticationNumber>041534322</AuthenticationNumber>
    <FirstName>מזל </FirstName>
    <LastName>לוי</LastName>
  </dt_InMatterOfCase>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E9835-607D-4FB4-8B61-460812177C2C}">
  <ds:schemaRefs/>
</ds:datastoreItem>
</file>

<file path=customXml/itemProps2.xml><?xml version="1.0" encoding="utf-8"?>
<ds:datastoreItem xmlns:ds="http://schemas.openxmlformats.org/officeDocument/2006/customXml" ds:itemID="{F0909816-742B-4307-8ECE-956C620BF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10181</Words>
  <Characters>50906</Characters>
  <Application>Microsoft Office Word</Application>
  <DocSecurity>0</DocSecurity>
  <Lines>424</Lines>
  <Paragraphs>121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2024-10-08T16:23:00Z</cp:lastPrinted>
  <dcterms:created xsi:type="dcterms:W3CDTF">2024-11-25T07:24:00Z</dcterms:created>
  <dcterms:modified xsi:type="dcterms:W3CDTF">2024-11-25T07:24:00Z</dcterms:modified>
</cp:coreProperties>
</file>